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eastAsia" w:ascii="宋体" w:hAnsi="宋体" w:eastAsia="宋体" w:cs="宋体"/>
          <w:b/>
          <w:bCs w:val="0"/>
          <w:i/>
          <w:iCs/>
          <w:color w:val="00B050"/>
          <w:sz w:val="24"/>
          <w:szCs w:val="24"/>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宋体" w:hAnsi="宋体" w:eastAsia="宋体" w:cs="宋体"/>
          <w:color w:val="000000"/>
          <w:sz w:val="24"/>
          <w:szCs w:val="24"/>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center"/>
        <w:textAlignment w:val="auto"/>
        <w:outlineLvl w:val="9"/>
        <w:rPr>
          <w:rFonts w:hint="eastAsia" w:ascii="宋体" w:hAnsi="宋体" w:eastAsia="宋体" w:cs="宋体"/>
          <w:b/>
          <w:bCs/>
          <w:color w:val="000000"/>
          <w:sz w:val="36"/>
          <w:szCs w:val="36"/>
        </w:rPr>
      </w:pPr>
      <w:r>
        <w:rPr>
          <w:rFonts w:hint="eastAsia" w:ascii="宋体" w:hAnsi="宋体" w:eastAsia="宋体" w:cs="宋体"/>
          <w:b/>
          <w:bCs/>
          <w:color w:val="000000"/>
          <w:sz w:val="36"/>
          <w:szCs w:val="36"/>
        </w:rPr>
        <w:t>江苏慕林智造科技股份有限公司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宋体" w:hAnsi="宋体" w:eastAsia="宋体" w:cs="宋体"/>
          <w:b/>
          <w:bCs/>
          <w:color w:val="000000"/>
          <w:sz w:val="44"/>
          <w:szCs w:val="44"/>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宋体" w:hAnsi="宋体" w:eastAsia="宋体" w:cs="宋体"/>
          <w:b/>
          <w:bCs/>
          <w:color w:val="000000"/>
          <w:sz w:val="44"/>
          <w:szCs w:val="44"/>
        </w:rPr>
      </w:pPr>
      <w:r>
        <w:rPr>
          <w:rFonts w:hint="eastAsia" w:ascii="宋体" w:hAnsi="宋体" w:eastAsia="宋体" w:cs="宋体"/>
          <w:b/>
          <w:bCs/>
          <w:color w:val="000000"/>
          <w:sz w:val="44"/>
          <w:szCs w:val="44"/>
        </w:rPr>
        <w:t>2025年度环境、社会及治理（ESG）报告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outlineLvl w:val="9"/>
        <w:rPr>
          <w:rStyle w:val="12"/>
          <w:rFonts w:hint="eastAsia" w:ascii="宋体" w:hAnsi="宋体" w:eastAsia="宋体" w:cs="宋体"/>
          <w:color w:val="000000"/>
          <w:kern w:val="0"/>
          <w:sz w:val="24"/>
          <w:szCs w:val="2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outlineLvl w:val="9"/>
        <w:rPr>
          <w:rFonts w:hint="eastAsia" w:ascii="宋体" w:hAnsi="宋体" w:eastAsia="宋体" w:cs="宋体"/>
          <w:color w:val="000000"/>
          <w:kern w:val="0"/>
          <w:sz w:val="24"/>
          <w:szCs w:val="24"/>
          <w:lang w:val="en-US" w:eastAsia="zh-CN" w:bidi="ar"/>
        </w:rPr>
      </w:pPr>
      <w:r>
        <w:rPr>
          <w:rStyle w:val="12"/>
          <w:rFonts w:hint="eastAsia" w:ascii="宋体" w:hAnsi="宋体" w:eastAsia="宋体" w:cs="宋体"/>
          <w:color w:val="000000"/>
          <w:kern w:val="0"/>
          <w:sz w:val="24"/>
          <w:szCs w:val="24"/>
          <w:lang w:val="en-US" w:eastAsia="zh-CN" w:bidi="ar"/>
        </w:rPr>
        <w:t>报告周期</w:t>
      </w:r>
      <w:r>
        <w:rPr>
          <w:rFonts w:hint="eastAsia" w:ascii="宋体" w:hAnsi="宋体" w:eastAsia="宋体" w:cs="宋体"/>
          <w:color w:val="000000"/>
          <w:kern w:val="0"/>
          <w:sz w:val="24"/>
          <w:szCs w:val="24"/>
          <w:lang w:val="en-US" w:eastAsia="zh-CN" w:bidi="ar"/>
        </w:rPr>
        <w:t xml:space="preserve">：2025 年 1 月 1 日 —2025 年 12 月 31 日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outlineLvl w:val="9"/>
        <w:rPr>
          <w:rFonts w:hint="eastAsia" w:ascii="宋体" w:hAnsi="宋体" w:eastAsia="宋体" w:cs="宋体"/>
          <w:color w:val="000000"/>
          <w:kern w:val="0"/>
          <w:sz w:val="24"/>
          <w:szCs w:val="24"/>
          <w:lang w:val="en-US" w:eastAsia="zh-CN" w:bidi="ar"/>
        </w:rPr>
      </w:pPr>
      <w:r>
        <w:rPr>
          <w:rStyle w:val="12"/>
          <w:rFonts w:hint="eastAsia" w:ascii="宋体" w:hAnsi="宋体" w:eastAsia="宋体" w:cs="宋体"/>
          <w:color w:val="000000"/>
          <w:kern w:val="0"/>
          <w:sz w:val="24"/>
          <w:szCs w:val="24"/>
          <w:lang w:val="en-US" w:eastAsia="zh-CN" w:bidi="ar"/>
        </w:rPr>
        <w:t>发布日期</w:t>
      </w:r>
      <w:r>
        <w:rPr>
          <w:rFonts w:hint="eastAsia" w:ascii="宋体" w:hAnsi="宋体" w:eastAsia="宋体" w:cs="宋体"/>
          <w:color w:val="000000"/>
          <w:kern w:val="0"/>
          <w:sz w:val="24"/>
          <w:szCs w:val="24"/>
          <w:lang w:val="en-US" w:eastAsia="zh-CN" w:bidi="ar"/>
        </w:rPr>
        <w:t xml:space="preserve">：2026 年 04 月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outlineLvl w:val="9"/>
        <w:rPr>
          <w:rFonts w:hint="eastAsia" w:ascii="宋体" w:hAnsi="宋体" w:eastAsia="宋体" w:cs="宋体"/>
          <w:color w:val="000000"/>
          <w:kern w:val="0"/>
          <w:sz w:val="24"/>
          <w:szCs w:val="24"/>
          <w:lang w:val="en-US" w:eastAsia="zh-CN" w:bidi="ar"/>
        </w:rPr>
      </w:pPr>
      <w:r>
        <w:rPr>
          <w:rStyle w:val="12"/>
          <w:rFonts w:hint="eastAsia" w:ascii="宋体" w:hAnsi="宋体" w:eastAsia="宋体" w:cs="宋体"/>
          <w:color w:val="000000"/>
          <w:kern w:val="0"/>
          <w:sz w:val="24"/>
          <w:szCs w:val="24"/>
          <w:lang w:val="en-US" w:eastAsia="zh-CN" w:bidi="ar"/>
        </w:rPr>
        <w:t>企业愿景</w:t>
      </w:r>
      <w:r>
        <w:rPr>
          <w:rFonts w:hint="eastAsia" w:ascii="宋体" w:hAnsi="宋体" w:eastAsia="宋体" w:cs="宋体"/>
          <w:color w:val="000000"/>
          <w:kern w:val="0"/>
          <w:sz w:val="24"/>
          <w:szCs w:val="24"/>
          <w:lang w:val="en-US" w:eastAsia="zh-CN" w:bidi="ar"/>
        </w:rPr>
        <w:t xml:space="preserve">：深耕智能驱动产业 打造绿色低碳标杆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color w:val="000000"/>
          <w:kern w:val="0"/>
          <w:sz w:val="24"/>
          <w:szCs w:val="24"/>
          <w:lang w:val="en-US" w:eastAsia="zh-CN" w:bidi="ar"/>
        </w:rPr>
      </w:pPr>
      <w:r>
        <w:drawing>
          <wp:inline distT="0" distB="0" distL="114300" distR="114300">
            <wp:extent cx="5274310" cy="3061335"/>
            <wp:effectExtent l="0" t="0" r="8890" b="1206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6"/>
                    <a:stretch>
                      <a:fillRect/>
                    </a:stretch>
                  </pic:blipFill>
                  <pic:spPr>
                    <a:xfrm>
                      <a:off x="0" y="0"/>
                      <a:ext cx="5274310" cy="3061335"/>
                    </a:xfrm>
                    <a:prstGeom prst="rect">
                      <a:avLst/>
                    </a:prstGeom>
                    <a:noFill/>
                    <a:ln>
                      <a:noFill/>
                    </a:ln>
                  </pic:spPr>
                </pic:pic>
              </a:graphicData>
            </a:graphic>
          </wp:inline>
        </w:drawing>
      </w:r>
    </w:p>
    <w:p>
      <w:pP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br w:type="page"/>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color w:val="000000"/>
          <w:sz w:val="24"/>
          <w:szCs w:val="24"/>
        </w:rPr>
      </w:pPr>
      <w:bookmarkStart w:id="0" w:name="_Toc1907"/>
      <w:r>
        <w:rPr>
          <w:rFonts w:hint="eastAsia" w:ascii="宋体" w:hAnsi="宋体" w:eastAsia="宋体" w:cs="宋体"/>
          <w:color w:val="000000"/>
          <w:sz w:val="24"/>
          <w:szCs w:val="24"/>
        </w:rPr>
        <w:t>【扉页・董事长致辞】</w:t>
      </w:r>
      <w:bookmarkEnd w:id="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董事长致辞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当前，全球制造业正加速向绿色化、智能化、可持续化转型，ESG发展理念已成为企业高质量发展的核心底色与核心竞争力。江苏慕林智造科技股份有限公司专注智能线性驱动系统研发、组装与销售，始终坚守</w:t>
      </w:r>
      <w:r>
        <w:rPr>
          <w:rStyle w:val="12"/>
          <w:rFonts w:hint="eastAsia" w:ascii="宋体" w:hAnsi="宋体" w:eastAsia="宋体" w:cs="宋体"/>
          <w:color w:val="000000"/>
          <w:kern w:val="0"/>
          <w:sz w:val="24"/>
          <w:szCs w:val="24"/>
          <w:lang w:val="en-US" w:eastAsia="zh-CN" w:bidi="ar"/>
        </w:rPr>
        <w:t>创新为基、绿色为魂、责任为本</w:t>
      </w:r>
      <w:r>
        <w:rPr>
          <w:rFonts w:hint="eastAsia" w:ascii="宋体" w:hAnsi="宋体" w:eastAsia="宋体" w:cs="宋体"/>
          <w:color w:val="000000"/>
          <w:kern w:val="0"/>
          <w:sz w:val="24"/>
          <w:szCs w:val="24"/>
          <w:lang w:val="en-US" w:eastAsia="zh-CN" w:bidi="ar"/>
        </w:rPr>
        <w:t>的发展理念，深度融入国家 “</w:t>
      </w:r>
      <w:bookmarkStart w:id="11" w:name="_GoBack"/>
      <w:bookmarkEnd w:id="11"/>
      <w:r>
        <w:rPr>
          <w:rFonts w:hint="eastAsia" w:ascii="宋体" w:hAnsi="宋体" w:eastAsia="宋体" w:cs="宋体"/>
          <w:color w:val="000000"/>
          <w:kern w:val="0"/>
          <w:sz w:val="24"/>
          <w:szCs w:val="24"/>
          <w:lang w:val="en-US" w:eastAsia="zh-CN" w:bidi="ar"/>
        </w:rPr>
        <w:t>双碳” 战略布局，全面推进企业可持续发展建设。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2025 年，公司立足自身组装型生产工艺、纯电力用能结构的低碳优势，全面启动</w:t>
      </w:r>
      <w:r>
        <w:rPr>
          <w:rStyle w:val="12"/>
          <w:rFonts w:hint="eastAsia" w:ascii="宋体" w:hAnsi="宋体" w:eastAsia="宋体" w:cs="宋体"/>
          <w:color w:val="000000"/>
          <w:kern w:val="0"/>
          <w:sz w:val="24"/>
          <w:szCs w:val="24"/>
          <w:lang w:val="en-US" w:eastAsia="zh-CN" w:bidi="ar"/>
        </w:rPr>
        <w:t>近零碳工厂系统性建设</w:t>
      </w:r>
      <w:r>
        <w:rPr>
          <w:rFonts w:hint="eastAsia" w:ascii="宋体" w:hAnsi="宋体" w:eastAsia="宋体" w:cs="宋体"/>
          <w:color w:val="000000"/>
          <w:kern w:val="0"/>
          <w:sz w:val="24"/>
          <w:szCs w:val="24"/>
          <w:lang w:val="en-US" w:eastAsia="zh-CN" w:bidi="ar"/>
        </w:rPr>
        <w:t>，搭建完善温室气体管理体系，有序推进节能改造、绿色电力替代、产品碳足迹优化、绿色低碳物流落地等一系列降碳举措，稳步降低全产业链碳排放水平。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在社会发展层面，公司坚持以人为本，切实保障全体员工合法权益，完善职业健康安全管理体系，搭建多元化人才成长平台；严守产品质量底线，以优质低碳产品回馈广大客户；积极搭建绿色供应链体系，带动上下游合作伙伴共同践行绿色发展理念，主动履行地方企业社会责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在公司治理层面，公司持续优化治理架构，健全内控合规管理体系，严守商业道德底线，不断提升企业规范化、透明化运营水平，为企业长期稳健发展筑牢坚实根基。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面向未来，慕林智造将持续以 ESG 发展战略为引领，坚定不移走绿色低碳、创新驱动、和谐共赢的发展道路，持续深化近零碳工厂创建成果，不断优化产品全生命周期碳足迹，全力推动产业绿色升级，以实际行动践行企业使命，为区域生态绿色发展与制造业低碳转型贡献坚实力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kern w:val="0"/>
          <w:sz w:val="24"/>
          <w:szCs w:val="24"/>
          <w:lang w:val="en-US" w:eastAsia="zh-CN" w:bidi="ar"/>
        </w:rPr>
      </w:pPr>
    </w:p>
    <w:p>
      <w:pP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br w:type="page"/>
      </w:r>
    </w:p>
    <w:sdt>
      <w:sdtPr>
        <w:rPr>
          <w:rFonts w:ascii="宋体" w:hAnsi="宋体" w:eastAsia="宋体" w:cstheme="minorBidi"/>
          <w:kern w:val="2"/>
          <w:sz w:val="24"/>
          <w:szCs w:val="24"/>
          <w:lang w:val="en-US" w:eastAsia="zh-CN" w:bidi="ar-SA"/>
        </w:rPr>
        <w:id w:val="147473050"/>
        <w15:color w:val="DBDBDB"/>
        <w:docPartObj>
          <w:docPartGallery w:val="Table of Contents"/>
          <w:docPartUnique/>
        </w:docPartObj>
      </w:sdtPr>
      <w:sdtEndPr>
        <w:rPr>
          <w:rFonts w:hint="eastAsia" w:ascii="宋体" w:hAnsi="宋体" w:eastAsia="宋体" w:cs="宋体"/>
          <w:b/>
          <w:color w:val="000000"/>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b/>
              <w:bCs/>
              <w:sz w:val="24"/>
              <w:szCs w:val="24"/>
            </w:rPr>
          </w:pPr>
          <w:r>
            <w:rPr>
              <w:rFonts w:ascii="宋体" w:hAnsi="宋体" w:eastAsia="宋体"/>
              <w:b/>
              <w:bCs/>
              <w:sz w:val="24"/>
              <w:szCs w:val="24"/>
            </w:rPr>
            <w:t>目录</w:t>
          </w:r>
        </w:p>
        <w:p>
          <w:pPr>
            <w:pStyle w:val="7"/>
            <w:tabs>
              <w:tab w:val="right" w:leader="dot" w:pos="8306"/>
            </w:tabs>
            <w:spacing w:line="360" w:lineRule="auto"/>
            <w:rPr>
              <w:sz w:val="24"/>
              <w:szCs w:val="24"/>
            </w:rPr>
          </w:pP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TOC \o "1-2" \h \u </w:instrText>
          </w:r>
          <w:r>
            <w:rPr>
              <w:rFonts w:hint="eastAsia" w:ascii="宋体" w:hAnsi="宋体" w:eastAsia="宋体" w:cs="宋体"/>
              <w:color w:val="000000"/>
              <w:sz w:val="24"/>
              <w:szCs w:val="24"/>
            </w:rPr>
            <w:fldChar w:fldCharType="separate"/>
          </w:r>
          <w:r>
            <w:rPr>
              <w:rFonts w:hint="eastAsia" w:ascii="宋体" w:hAnsi="宋体" w:eastAsia="宋体" w:cs="宋体"/>
              <w:color w:val="000000"/>
              <w:sz w:val="24"/>
              <w:szCs w:val="24"/>
            </w:rPr>
            <w:fldChar w:fldCharType="begin"/>
          </w:r>
          <w:r>
            <w:rPr>
              <w:rFonts w:hint="eastAsia" w:ascii="宋体" w:hAnsi="宋体" w:eastAsia="宋体" w:cs="宋体"/>
              <w:sz w:val="24"/>
              <w:szCs w:val="24"/>
            </w:rPr>
            <w:instrText xml:space="preserve"> HYPERLINK \l _Toc1907 </w:instrText>
          </w:r>
          <w:r>
            <w:rPr>
              <w:rFonts w:hint="eastAsia" w:ascii="宋体" w:hAnsi="宋体" w:eastAsia="宋体" w:cs="宋体"/>
              <w:sz w:val="24"/>
              <w:szCs w:val="24"/>
            </w:rPr>
            <w:fldChar w:fldCharType="separate"/>
          </w:r>
          <w:r>
            <w:rPr>
              <w:rFonts w:hint="eastAsia" w:ascii="宋体" w:hAnsi="宋体" w:eastAsia="宋体" w:cs="宋体"/>
              <w:sz w:val="24"/>
              <w:szCs w:val="24"/>
            </w:rPr>
            <w:t>【扉页・董事长致辞】</w:t>
          </w:r>
          <w:r>
            <w:rPr>
              <w:sz w:val="24"/>
              <w:szCs w:val="24"/>
            </w:rPr>
            <w:tab/>
          </w:r>
          <w:r>
            <w:rPr>
              <w:sz w:val="24"/>
              <w:szCs w:val="24"/>
            </w:rPr>
            <w:fldChar w:fldCharType="begin"/>
          </w:r>
          <w:r>
            <w:rPr>
              <w:sz w:val="24"/>
              <w:szCs w:val="24"/>
            </w:rPr>
            <w:instrText xml:space="preserve"> PAGEREF _Toc1907 </w:instrText>
          </w:r>
          <w:r>
            <w:rPr>
              <w:sz w:val="24"/>
              <w:szCs w:val="24"/>
            </w:rPr>
            <w:fldChar w:fldCharType="separate"/>
          </w:r>
          <w:r>
            <w:rPr>
              <w:sz w:val="24"/>
              <w:szCs w:val="24"/>
            </w:rPr>
            <w:t>2</w:t>
          </w:r>
          <w:r>
            <w:rPr>
              <w:sz w:val="24"/>
              <w:szCs w:val="24"/>
            </w:rPr>
            <w:fldChar w:fldCharType="end"/>
          </w:r>
          <w:r>
            <w:rPr>
              <w:rFonts w:hint="eastAsia" w:ascii="宋体" w:hAnsi="宋体" w:eastAsia="宋体" w:cs="宋体"/>
              <w:color w:val="000000"/>
              <w:sz w:val="24"/>
              <w:szCs w:val="24"/>
            </w:rPr>
            <w:fldChar w:fldCharType="end"/>
          </w:r>
        </w:p>
        <w:p>
          <w:pPr>
            <w:pStyle w:val="7"/>
            <w:tabs>
              <w:tab w:val="right" w:leader="dot" w:pos="8306"/>
            </w:tabs>
            <w:spacing w:line="360" w:lineRule="auto"/>
            <w:rPr>
              <w:sz w:val="24"/>
              <w:szCs w:val="24"/>
            </w:rPr>
          </w:pPr>
          <w:r>
            <w:rPr>
              <w:rFonts w:hint="eastAsia" w:ascii="宋体" w:hAnsi="宋体" w:eastAsia="宋体" w:cs="宋体"/>
              <w:color w:val="000000"/>
              <w:sz w:val="24"/>
              <w:szCs w:val="24"/>
            </w:rPr>
            <w:fldChar w:fldCharType="begin"/>
          </w:r>
          <w:r>
            <w:rPr>
              <w:rFonts w:hint="eastAsia" w:ascii="宋体" w:hAnsi="宋体" w:eastAsia="宋体" w:cs="宋体"/>
              <w:sz w:val="24"/>
              <w:szCs w:val="24"/>
            </w:rPr>
            <w:instrText xml:space="preserve"> HYPERLINK \l _Toc13532 </w:instrText>
          </w:r>
          <w:r>
            <w:rPr>
              <w:rFonts w:hint="eastAsia" w:ascii="宋体" w:hAnsi="宋体" w:eastAsia="宋体" w:cs="宋体"/>
              <w:sz w:val="24"/>
              <w:szCs w:val="24"/>
            </w:rPr>
            <w:fldChar w:fldCharType="separate"/>
          </w:r>
          <w:r>
            <w:rPr>
              <w:rFonts w:hint="eastAsia" w:ascii="宋体" w:hAnsi="宋体" w:eastAsia="宋体" w:cs="宋体"/>
              <w:sz w:val="24"/>
              <w:szCs w:val="24"/>
            </w:rPr>
            <w:t>一、关于本报告</w:t>
          </w:r>
          <w:r>
            <w:rPr>
              <w:sz w:val="24"/>
              <w:szCs w:val="24"/>
            </w:rPr>
            <w:tab/>
          </w:r>
          <w:r>
            <w:rPr>
              <w:sz w:val="24"/>
              <w:szCs w:val="24"/>
            </w:rPr>
            <w:fldChar w:fldCharType="begin"/>
          </w:r>
          <w:r>
            <w:rPr>
              <w:sz w:val="24"/>
              <w:szCs w:val="24"/>
            </w:rPr>
            <w:instrText xml:space="preserve"> PAGEREF _Toc13532 </w:instrText>
          </w:r>
          <w:r>
            <w:rPr>
              <w:sz w:val="24"/>
              <w:szCs w:val="24"/>
            </w:rPr>
            <w:fldChar w:fldCharType="separate"/>
          </w:r>
          <w:r>
            <w:rPr>
              <w:sz w:val="24"/>
              <w:szCs w:val="24"/>
            </w:rPr>
            <w:t>4</w:t>
          </w:r>
          <w:r>
            <w:rPr>
              <w:sz w:val="24"/>
              <w:szCs w:val="24"/>
            </w:rPr>
            <w:fldChar w:fldCharType="end"/>
          </w:r>
          <w:r>
            <w:rPr>
              <w:rFonts w:hint="eastAsia" w:ascii="宋体" w:hAnsi="宋体" w:eastAsia="宋体" w:cs="宋体"/>
              <w:color w:val="000000"/>
              <w:sz w:val="24"/>
              <w:szCs w:val="24"/>
            </w:rPr>
            <w:fldChar w:fldCharType="end"/>
          </w:r>
        </w:p>
        <w:p>
          <w:pPr>
            <w:pStyle w:val="8"/>
            <w:tabs>
              <w:tab w:val="right" w:leader="dot" w:pos="8306"/>
            </w:tabs>
            <w:spacing w:line="360" w:lineRule="auto"/>
            <w:rPr>
              <w:sz w:val="24"/>
              <w:szCs w:val="24"/>
            </w:rPr>
          </w:pPr>
          <w:r>
            <w:rPr>
              <w:rFonts w:hint="eastAsia" w:ascii="宋体" w:hAnsi="宋体" w:eastAsia="宋体" w:cs="宋体"/>
              <w:color w:val="000000"/>
              <w:sz w:val="24"/>
              <w:szCs w:val="24"/>
            </w:rPr>
            <w:fldChar w:fldCharType="begin"/>
          </w:r>
          <w:r>
            <w:rPr>
              <w:rFonts w:hint="eastAsia" w:ascii="宋体" w:hAnsi="宋体" w:eastAsia="宋体" w:cs="宋体"/>
              <w:sz w:val="24"/>
              <w:szCs w:val="24"/>
            </w:rPr>
            <w:instrText xml:space="preserve"> HYPERLINK \l _Toc24964 </w:instrText>
          </w:r>
          <w:r>
            <w:rPr>
              <w:rFonts w:hint="eastAsia" w:ascii="宋体" w:hAnsi="宋体" w:eastAsia="宋体" w:cs="宋体"/>
              <w:sz w:val="24"/>
              <w:szCs w:val="24"/>
            </w:rPr>
            <w:fldChar w:fldCharType="separate"/>
          </w:r>
          <w:r>
            <w:rPr>
              <w:rFonts w:hint="eastAsia" w:ascii="宋体" w:hAnsi="宋体" w:eastAsia="宋体" w:cs="宋体"/>
              <w:sz w:val="24"/>
              <w:szCs w:val="24"/>
            </w:rPr>
            <w:t>二、企业概况与 ESG 发展战略</w:t>
          </w:r>
          <w:r>
            <w:rPr>
              <w:sz w:val="24"/>
              <w:szCs w:val="24"/>
            </w:rPr>
            <w:tab/>
          </w:r>
          <w:r>
            <w:rPr>
              <w:sz w:val="24"/>
              <w:szCs w:val="24"/>
            </w:rPr>
            <w:fldChar w:fldCharType="begin"/>
          </w:r>
          <w:r>
            <w:rPr>
              <w:sz w:val="24"/>
              <w:szCs w:val="24"/>
            </w:rPr>
            <w:instrText xml:space="preserve"> PAGEREF _Toc24964 </w:instrText>
          </w:r>
          <w:r>
            <w:rPr>
              <w:sz w:val="24"/>
              <w:szCs w:val="24"/>
            </w:rPr>
            <w:fldChar w:fldCharType="separate"/>
          </w:r>
          <w:r>
            <w:rPr>
              <w:sz w:val="24"/>
              <w:szCs w:val="24"/>
            </w:rPr>
            <w:t>5</w:t>
          </w:r>
          <w:r>
            <w:rPr>
              <w:sz w:val="24"/>
              <w:szCs w:val="24"/>
            </w:rPr>
            <w:fldChar w:fldCharType="end"/>
          </w:r>
          <w:r>
            <w:rPr>
              <w:rFonts w:hint="eastAsia" w:ascii="宋体" w:hAnsi="宋体" w:eastAsia="宋体" w:cs="宋体"/>
              <w:color w:val="000000"/>
              <w:sz w:val="24"/>
              <w:szCs w:val="24"/>
            </w:rPr>
            <w:fldChar w:fldCharType="end"/>
          </w:r>
        </w:p>
        <w:p>
          <w:pPr>
            <w:pStyle w:val="8"/>
            <w:tabs>
              <w:tab w:val="right" w:leader="dot" w:pos="8306"/>
            </w:tabs>
            <w:spacing w:line="360" w:lineRule="auto"/>
            <w:rPr>
              <w:sz w:val="24"/>
              <w:szCs w:val="24"/>
            </w:rPr>
          </w:pPr>
          <w:r>
            <w:rPr>
              <w:rFonts w:hint="eastAsia" w:ascii="宋体" w:hAnsi="宋体" w:eastAsia="宋体" w:cs="宋体"/>
              <w:color w:val="000000"/>
              <w:sz w:val="24"/>
              <w:szCs w:val="24"/>
            </w:rPr>
            <w:fldChar w:fldCharType="begin"/>
          </w:r>
          <w:r>
            <w:rPr>
              <w:rFonts w:hint="eastAsia" w:ascii="宋体" w:hAnsi="宋体" w:eastAsia="宋体" w:cs="宋体"/>
              <w:sz w:val="24"/>
              <w:szCs w:val="24"/>
            </w:rPr>
            <w:instrText xml:space="preserve"> HYPERLINK \l _Toc23639 </w:instrText>
          </w:r>
          <w:r>
            <w:rPr>
              <w:rFonts w:hint="eastAsia" w:ascii="宋体" w:hAnsi="宋体" w:eastAsia="宋体" w:cs="宋体"/>
              <w:sz w:val="24"/>
              <w:szCs w:val="24"/>
            </w:rPr>
            <w:fldChar w:fldCharType="separate"/>
          </w:r>
          <w:r>
            <w:rPr>
              <w:rFonts w:hint="eastAsia" w:ascii="宋体" w:hAnsi="宋体" w:eastAsia="宋体" w:cs="宋体"/>
              <w:sz w:val="24"/>
              <w:szCs w:val="24"/>
            </w:rPr>
            <w:t>三、环境治理（E）：绿色智造 低碳发展</w:t>
          </w:r>
          <w:r>
            <w:rPr>
              <w:sz w:val="24"/>
              <w:szCs w:val="24"/>
            </w:rPr>
            <w:tab/>
          </w:r>
          <w:r>
            <w:rPr>
              <w:sz w:val="24"/>
              <w:szCs w:val="24"/>
            </w:rPr>
            <w:fldChar w:fldCharType="begin"/>
          </w:r>
          <w:r>
            <w:rPr>
              <w:sz w:val="24"/>
              <w:szCs w:val="24"/>
            </w:rPr>
            <w:instrText xml:space="preserve"> PAGEREF _Toc23639 </w:instrText>
          </w:r>
          <w:r>
            <w:rPr>
              <w:sz w:val="24"/>
              <w:szCs w:val="24"/>
            </w:rPr>
            <w:fldChar w:fldCharType="separate"/>
          </w:r>
          <w:r>
            <w:rPr>
              <w:sz w:val="24"/>
              <w:szCs w:val="24"/>
            </w:rPr>
            <w:t>7</w:t>
          </w:r>
          <w:r>
            <w:rPr>
              <w:sz w:val="24"/>
              <w:szCs w:val="24"/>
            </w:rPr>
            <w:fldChar w:fldCharType="end"/>
          </w:r>
          <w:r>
            <w:rPr>
              <w:rFonts w:hint="eastAsia" w:ascii="宋体" w:hAnsi="宋体" w:eastAsia="宋体" w:cs="宋体"/>
              <w:color w:val="000000"/>
              <w:sz w:val="24"/>
              <w:szCs w:val="24"/>
            </w:rPr>
            <w:fldChar w:fldCharType="end"/>
          </w:r>
        </w:p>
        <w:p>
          <w:pPr>
            <w:pStyle w:val="8"/>
            <w:tabs>
              <w:tab w:val="right" w:leader="dot" w:pos="8306"/>
            </w:tabs>
            <w:spacing w:line="360" w:lineRule="auto"/>
            <w:rPr>
              <w:sz w:val="24"/>
              <w:szCs w:val="24"/>
            </w:rPr>
          </w:pPr>
          <w:r>
            <w:rPr>
              <w:rFonts w:hint="eastAsia" w:ascii="宋体" w:hAnsi="宋体" w:eastAsia="宋体" w:cs="宋体"/>
              <w:color w:val="000000"/>
              <w:sz w:val="24"/>
              <w:szCs w:val="24"/>
            </w:rPr>
            <w:fldChar w:fldCharType="begin"/>
          </w:r>
          <w:r>
            <w:rPr>
              <w:rFonts w:hint="eastAsia" w:ascii="宋体" w:hAnsi="宋体" w:eastAsia="宋体" w:cs="宋体"/>
              <w:sz w:val="24"/>
              <w:szCs w:val="24"/>
            </w:rPr>
            <w:instrText xml:space="preserve"> HYPERLINK \l _Toc19240 </w:instrText>
          </w:r>
          <w:r>
            <w:rPr>
              <w:rFonts w:hint="eastAsia" w:ascii="宋体" w:hAnsi="宋体" w:eastAsia="宋体" w:cs="宋体"/>
              <w:sz w:val="24"/>
              <w:szCs w:val="24"/>
            </w:rPr>
            <w:fldChar w:fldCharType="separate"/>
          </w:r>
          <w:r>
            <w:rPr>
              <w:rFonts w:hint="eastAsia" w:ascii="宋体" w:hAnsi="宋体" w:eastAsia="宋体" w:cs="宋体"/>
              <w:sz w:val="24"/>
              <w:szCs w:val="24"/>
            </w:rPr>
            <w:t>四、社会责任（S）：以人为本 聚力共生</w:t>
          </w:r>
          <w:r>
            <w:rPr>
              <w:sz w:val="24"/>
              <w:szCs w:val="24"/>
            </w:rPr>
            <w:tab/>
          </w:r>
          <w:r>
            <w:rPr>
              <w:sz w:val="24"/>
              <w:szCs w:val="24"/>
            </w:rPr>
            <w:fldChar w:fldCharType="begin"/>
          </w:r>
          <w:r>
            <w:rPr>
              <w:sz w:val="24"/>
              <w:szCs w:val="24"/>
            </w:rPr>
            <w:instrText xml:space="preserve"> PAGEREF _Toc19240 </w:instrText>
          </w:r>
          <w:r>
            <w:rPr>
              <w:sz w:val="24"/>
              <w:szCs w:val="24"/>
            </w:rPr>
            <w:fldChar w:fldCharType="separate"/>
          </w:r>
          <w:r>
            <w:rPr>
              <w:sz w:val="24"/>
              <w:szCs w:val="24"/>
            </w:rPr>
            <w:t>10</w:t>
          </w:r>
          <w:r>
            <w:rPr>
              <w:sz w:val="24"/>
              <w:szCs w:val="24"/>
            </w:rPr>
            <w:fldChar w:fldCharType="end"/>
          </w:r>
          <w:r>
            <w:rPr>
              <w:rFonts w:hint="eastAsia" w:ascii="宋体" w:hAnsi="宋体" w:eastAsia="宋体" w:cs="宋体"/>
              <w:color w:val="000000"/>
              <w:sz w:val="24"/>
              <w:szCs w:val="24"/>
            </w:rPr>
            <w:fldChar w:fldCharType="end"/>
          </w:r>
        </w:p>
        <w:p>
          <w:pPr>
            <w:pStyle w:val="8"/>
            <w:tabs>
              <w:tab w:val="right" w:leader="dot" w:pos="8306"/>
            </w:tabs>
            <w:spacing w:line="360" w:lineRule="auto"/>
            <w:rPr>
              <w:sz w:val="24"/>
              <w:szCs w:val="24"/>
            </w:rPr>
          </w:pPr>
          <w:r>
            <w:rPr>
              <w:rFonts w:hint="eastAsia" w:ascii="宋体" w:hAnsi="宋体" w:eastAsia="宋体" w:cs="宋体"/>
              <w:color w:val="000000"/>
              <w:sz w:val="24"/>
              <w:szCs w:val="24"/>
            </w:rPr>
            <w:fldChar w:fldCharType="begin"/>
          </w:r>
          <w:r>
            <w:rPr>
              <w:rFonts w:hint="eastAsia" w:ascii="宋体" w:hAnsi="宋体" w:eastAsia="宋体" w:cs="宋体"/>
              <w:sz w:val="24"/>
              <w:szCs w:val="24"/>
            </w:rPr>
            <w:instrText xml:space="preserve"> HYPERLINK \l _Toc31687 </w:instrText>
          </w:r>
          <w:r>
            <w:rPr>
              <w:rFonts w:hint="eastAsia" w:ascii="宋体" w:hAnsi="宋体" w:eastAsia="宋体" w:cs="宋体"/>
              <w:sz w:val="24"/>
              <w:szCs w:val="24"/>
            </w:rPr>
            <w:fldChar w:fldCharType="separate"/>
          </w:r>
          <w:r>
            <w:rPr>
              <w:rFonts w:hint="eastAsia" w:ascii="宋体" w:hAnsi="宋体" w:eastAsia="宋体" w:cs="宋体"/>
              <w:sz w:val="24"/>
              <w:szCs w:val="24"/>
            </w:rPr>
            <w:t>五、公司治理（G）：规范运营 行稳致远</w:t>
          </w:r>
          <w:r>
            <w:rPr>
              <w:sz w:val="24"/>
              <w:szCs w:val="24"/>
            </w:rPr>
            <w:tab/>
          </w:r>
          <w:r>
            <w:rPr>
              <w:sz w:val="24"/>
              <w:szCs w:val="24"/>
            </w:rPr>
            <w:fldChar w:fldCharType="begin"/>
          </w:r>
          <w:r>
            <w:rPr>
              <w:sz w:val="24"/>
              <w:szCs w:val="24"/>
            </w:rPr>
            <w:instrText xml:space="preserve"> PAGEREF _Toc31687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color w:val="000000"/>
              <w:sz w:val="24"/>
              <w:szCs w:val="24"/>
            </w:rPr>
            <w:fldChar w:fldCharType="end"/>
          </w:r>
        </w:p>
        <w:p>
          <w:pPr>
            <w:pStyle w:val="8"/>
            <w:tabs>
              <w:tab w:val="right" w:leader="dot" w:pos="8306"/>
            </w:tabs>
            <w:spacing w:line="360" w:lineRule="auto"/>
            <w:rPr>
              <w:sz w:val="24"/>
              <w:szCs w:val="24"/>
            </w:rPr>
          </w:pPr>
          <w:r>
            <w:rPr>
              <w:rFonts w:hint="eastAsia" w:ascii="宋体" w:hAnsi="宋体" w:eastAsia="宋体" w:cs="宋体"/>
              <w:color w:val="000000"/>
              <w:sz w:val="24"/>
              <w:szCs w:val="24"/>
            </w:rPr>
            <w:fldChar w:fldCharType="begin"/>
          </w:r>
          <w:r>
            <w:rPr>
              <w:rFonts w:hint="eastAsia" w:ascii="宋体" w:hAnsi="宋体" w:eastAsia="宋体" w:cs="宋体"/>
              <w:sz w:val="24"/>
              <w:szCs w:val="24"/>
            </w:rPr>
            <w:instrText xml:space="preserve"> HYPERLINK \l _Toc25061 </w:instrText>
          </w:r>
          <w:r>
            <w:rPr>
              <w:rFonts w:hint="eastAsia" w:ascii="宋体" w:hAnsi="宋体" w:eastAsia="宋体" w:cs="宋体"/>
              <w:sz w:val="24"/>
              <w:szCs w:val="24"/>
            </w:rPr>
            <w:fldChar w:fldCharType="separate"/>
          </w:r>
          <w:r>
            <w:rPr>
              <w:rFonts w:hint="eastAsia" w:ascii="宋体" w:hAnsi="宋体" w:eastAsia="宋体" w:cs="宋体"/>
              <w:sz w:val="24"/>
              <w:szCs w:val="24"/>
            </w:rPr>
            <w:t>六、年度 ESG 核心绩效亮点</w:t>
          </w:r>
          <w:r>
            <w:rPr>
              <w:sz w:val="24"/>
              <w:szCs w:val="24"/>
            </w:rPr>
            <w:tab/>
          </w:r>
          <w:r>
            <w:rPr>
              <w:sz w:val="24"/>
              <w:szCs w:val="24"/>
            </w:rPr>
            <w:fldChar w:fldCharType="begin"/>
          </w:r>
          <w:r>
            <w:rPr>
              <w:sz w:val="24"/>
              <w:szCs w:val="24"/>
            </w:rPr>
            <w:instrText xml:space="preserve"> PAGEREF _Toc25061 </w:instrText>
          </w:r>
          <w:r>
            <w:rPr>
              <w:sz w:val="24"/>
              <w:szCs w:val="24"/>
            </w:rPr>
            <w:fldChar w:fldCharType="separate"/>
          </w:r>
          <w:r>
            <w:rPr>
              <w:sz w:val="24"/>
              <w:szCs w:val="24"/>
            </w:rPr>
            <w:t>14</w:t>
          </w:r>
          <w:r>
            <w:rPr>
              <w:sz w:val="24"/>
              <w:szCs w:val="24"/>
            </w:rPr>
            <w:fldChar w:fldCharType="end"/>
          </w:r>
          <w:r>
            <w:rPr>
              <w:rFonts w:hint="eastAsia" w:ascii="宋体" w:hAnsi="宋体" w:eastAsia="宋体" w:cs="宋体"/>
              <w:color w:val="000000"/>
              <w:sz w:val="24"/>
              <w:szCs w:val="24"/>
            </w:rPr>
            <w:fldChar w:fldCharType="end"/>
          </w:r>
        </w:p>
        <w:p>
          <w:pPr>
            <w:pStyle w:val="8"/>
            <w:tabs>
              <w:tab w:val="right" w:leader="dot" w:pos="8306"/>
            </w:tabs>
            <w:spacing w:line="360" w:lineRule="auto"/>
            <w:rPr>
              <w:sz w:val="24"/>
              <w:szCs w:val="24"/>
            </w:rPr>
          </w:pPr>
          <w:r>
            <w:rPr>
              <w:rFonts w:hint="eastAsia" w:ascii="宋体" w:hAnsi="宋体" w:eastAsia="宋体" w:cs="宋体"/>
              <w:color w:val="000000"/>
              <w:sz w:val="24"/>
              <w:szCs w:val="24"/>
            </w:rPr>
            <w:fldChar w:fldCharType="begin"/>
          </w:r>
          <w:r>
            <w:rPr>
              <w:rFonts w:hint="eastAsia" w:ascii="宋体" w:hAnsi="宋体" w:eastAsia="宋体" w:cs="宋体"/>
              <w:sz w:val="24"/>
              <w:szCs w:val="24"/>
            </w:rPr>
            <w:instrText xml:space="preserve"> HYPERLINK \l _Toc14861 </w:instrText>
          </w:r>
          <w:r>
            <w:rPr>
              <w:rFonts w:hint="eastAsia" w:ascii="宋体" w:hAnsi="宋体" w:eastAsia="宋体" w:cs="宋体"/>
              <w:sz w:val="24"/>
              <w:szCs w:val="24"/>
            </w:rPr>
            <w:fldChar w:fldCharType="separate"/>
          </w:r>
          <w:r>
            <w:rPr>
              <w:rFonts w:hint="eastAsia" w:ascii="宋体" w:hAnsi="宋体" w:eastAsia="宋体" w:cs="宋体"/>
              <w:sz w:val="24"/>
              <w:szCs w:val="24"/>
            </w:rPr>
            <w:t>七、现存不足与改进方向</w:t>
          </w:r>
          <w:r>
            <w:rPr>
              <w:sz w:val="24"/>
              <w:szCs w:val="24"/>
            </w:rPr>
            <w:tab/>
          </w:r>
          <w:r>
            <w:rPr>
              <w:sz w:val="24"/>
              <w:szCs w:val="24"/>
            </w:rPr>
            <w:fldChar w:fldCharType="begin"/>
          </w:r>
          <w:r>
            <w:rPr>
              <w:sz w:val="24"/>
              <w:szCs w:val="24"/>
            </w:rPr>
            <w:instrText xml:space="preserve"> PAGEREF _Toc14861 </w:instrText>
          </w:r>
          <w:r>
            <w:rPr>
              <w:sz w:val="24"/>
              <w:szCs w:val="24"/>
            </w:rPr>
            <w:fldChar w:fldCharType="separate"/>
          </w:r>
          <w:r>
            <w:rPr>
              <w:sz w:val="24"/>
              <w:szCs w:val="24"/>
            </w:rPr>
            <w:t>14</w:t>
          </w:r>
          <w:r>
            <w:rPr>
              <w:sz w:val="24"/>
              <w:szCs w:val="24"/>
            </w:rPr>
            <w:fldChar w:fldCharType="end"/>
          </w:r>
          <w:r>
            <w:rPr>
              <w:rFonts w:hint="eastAsia" w:ascii="宋体" w:hAnsi="宋体" w:eastAsia="宋体" w:cs="宋体"/>
              <w:color w:val="000000"/>
              <w:sz w:val="24"/>
              <w:szCs w:val="24"/>
            </w:rPr>
            <w:fldChar w:fldCharType="end"/>
          </w:r>
        </w:p>
        <w:p>
          <w:pPr>
            <w:pStyle w:val="8"/>
            <w:tabs>
              <w:tab w:val="right" w:leader="dot" w:pos="8306"/>
            </w:tabs>
            <w:spacing w:line="360" w:lineRule="auto"/>
            <w:rPr>
              <w:sz w:val="24"/>
              <w:szCs w:val="24"/>
            </w:rPr>
          </w:pPr>
          <w:r>
            <w:rPr>
              <w:rFonts w:hint="eastAsia" w:ascii="宋体" w:hAnsi="宋体" w:eastAsia="宋体" w:cs="宋体"/>
              <w:color w:val="000000"/>
              <w:sz w:val="24"/>
              <w:szCs w:val="24"/>
            </w:rPr>
            <w:fldChar w:fldCharType="begin"/>
          </w:r>
          <w:r>
            <w:rPr>
              <w:rFonts w:hint="eastAsia" w:ascii="宋体" w:hAnsi="宋体" w:eastAsia="宋体" w:cs="宋体"/>
              <w:sz w:val="24"/>
              <w:szCs w:val="24"/>
            </w:rPr>
            <w:instrText xml:space="preserve"> HYPERLINK \l _Toc31421 </w:instrText>
          </w:r>
          <w:r>
            <w:rPr>
              <w:rFonts w:hint="eastAsia" w:ascii="宋体" w:hAnsi="宋体" w:eastAsia="宋体" w:cs="宋体"/>
              <w:sz w:val="24"/>
              <w:szCs w:val="24"/>
            </w:rPr>
            <w:fldChar w:fldCharType="separate"/>
          </w:r>
          <w:r>
            <w:rPr>
              <w:rFonts w:hint="eastAsia" w:ascii="宋体" w:hAnsi="宋体" w:eastAsia="宋体" w:cs="宋体"/>
              <w:sz w:val="24"/>
              <w:szCs w:val="24"/>
            </w:rPr>
            <w:t>八、2026 年 ESG 重点发展规划</w:t>
          </w:r>
          <w:r>
            <w:rPr>
              <w:sz w:val="24"/>
              <w:szCs w:val="24"/>
            </w:rPr>
            <w:tab/>
          </w:r>
          <w:r>
            <w:rPr>
              <w:sz w:val="24"/>
              <w:szCs w:val="24"/>
            </w:rPr>
            <w:fldChar w:fldCharType="begin"/>
          </w:r>
          <w:r>
            <w:rPr>
              <w:sz w:val="24"/>
              <w:szCs w:val="24"/>
            </w:rPr>
            <w:instrText xml:space="preserve"> PAGEREF _Toc31421 </w:instrText>
          </w:r>
          <w:r>
            <w:rPr>
              <w:sz w:val="24"/>
              <w:szCs w:val="24"/>
            </w:rPr>
            <w:fldChar w:fldCharType="separate"/>
          </w:r>
          <w:r>
            <w:rPr>
              <w:sz w:val="24"/>
              <w:szCs w:val="24"/>
            </w:rPr>
            <w:t>14</w:t>
          </w:r>
          <w:r>
            <w:rPr>
              <w:sz w:val="24"/>
              <w:szCs w:val="24"/>
            </w:rPr>
            <w:fldChar w:fldCharType="end"/>
          </w:r>
          <w:r>
            <w:rPr>
              <w:rFonts w:hint="eastAsia" w:ascii="宋体" w:hAnsi="宋体" w:eastAsia="宋体" w:cs="宋体"/>
              <w:color w:val="000000"/>
              <w:sz w:val="24"/>
              <w:szCs w:val="24"/>
            </w:rPr>
            <w:fldChar w:fldCharType="end"/>
          </w:r>
        </w:p>
        <w:p>
          <w:pPr>
            <w:pStyle w:val="8"/>
            <w:tabs>
              <w:tab w:val="right" w:leader="dot" w:pos="8306"/>
            </w:tabs>
            <w:spacing w:line="360" w:lineRule="auto"/>
            <w:rPr>
              <w:sz w:val="24"/>
              <w:szCs w:val="24"/>
            </w:rPr>
          </w:pPr>
          <w:r>
            <w:rPr>
              <w:rFonts w:hint="eastAsia" w:ascii="宋体" w:hAnsi="宋体" w:eastAsia="宋体" w:cs="宋体"/>
              <w:color w:val="000000"/>
              <w:sz w:val="24"/>
              <w:szCs w:val="24"/>
            </w:rPr>
            <w:fldChar w:fldCharType="begin"/>
          </w:r>
          <w:r>
            <w:rPr>
              <w:rFonts w:hint="eastAsia" w:ascii="宋体" w:hAnsi="宋体" w:eastAsia="宋体" w:cs="宋体"/>
              <w:sz w:val="24"/>
              <w:szCs w:val="24"/>
            </w:rPr>
            <w:instrText xml:space="preserve"> HYPERLINK \l _Toc25380 </w:instrText>
          </w:r>
          <w:r>
            <w:rPr>
              <w:rFonts w:hint="eastAsia" w:ascii="宋体" w:hAnsi="宋体" w:eastAsia="宋体" w:cs="宋体"/>
              <w:sz w:val="24"/>
              <w:szCs w:val="24"/>
            </w:rPr>
            <w:fldChar w:fldCharType="separate"/>
          </w:r>
          <w:r>
            <w:rPr>
              <w:rFonts w:hint="eastAsia" w:ascii="宋体" w:hAnsi="宋体" w:eastAsia="宋体" w:cs="宋体"/>
              <w:sz w:val="24"/>
              <w:szCs w:val="24"/>
            </w:rPr>
            <w:t>九、报告结语与利益相关方沟通</w:t>
          </w:r>
          <w:r>
            <w:rPr>
              <w:sz w:val="24"/>
              <w:szCs w:val="24"/>
            </w:rPr>
            <w:tab/>
          </w:r>
          <w:r>
            <w:rPr>
              <w:sz w:val="24"/>
              <w:szCs w:val="24"/>
            </w:rPr>
            <w:fldChar w:fldCharType="begin"/>
          </w:r>
          <w:r>
            <w:rPr>
              <w:sz w:val="24"/>
              <w:szCs w:val="24"/>
            </w:rPr>
            <w:instrText xml:space="preserve"> PAGEREF _Toc25380 </w:instrText>
          </w:r>
          <w:r>
            <w:rPr>
              <w:sz w:val="24"/>
              <w:szCs w:val="24"/>
            </w:rPr>
            <w:fldChar w:fldCharType="separate"/>
          </w:r>
          <w:r>
            <w:rPr>
              <w:sz w:val="24"/>
              <w:szCs w:val="24"/>
            </w:rPr>
            <w:t>14</w:t>
          </w:r>
          <w:r>
            <w:rPr>
              <w:sz w:val="24"/>
              <w:szCs w:val="24"/>
            </w:rPr>
            <w:fldChar w:fldCharType="end"/>
          </w:r>
          <w:r>
            <w:rPr>
              <w:rFonts w:hint="eastAsia" w:ascii="宋体" w:hAnsi="宋体" w:eastAsia="宋体" w:cs="宋体"/>
              <w:color w:val="000000"/>
              <w:sz w:val="24"/>
              <w:szCs w:val="24"/>
            </w:rPr>
            <w:fldChar w:fldCharType="end"/>
          </w:r>
        </w:p>
        <w:p>
          <w:pPr>
            <w:pStyle w:val="8"/>
            <w:tabs>
              <w:tab w:val="right" w:leader="dot" w:pos="8306"/>
            </w:tabs>
            <w:spacing w:line="360" w:lineRule="auto"/>
            <w:rPr>
              <w:sz w:val="24"/>
              <w:szCs w:val="24"/>
            </w:rPr>
          </w:pPr>
          <w:r>
            <w:rPr>
              <w:rFonts w:hint="eastAsia" w:ascii="宋体" w:hAnsi="宋体" w:eastAsia="宋体" w:cs="宋体"/>
              <w:color w:val="000000"/>
              <w:sz w:val="24"/>
              <w:szCs w:val="24"/>
            </w:rPr>
            <w:fldChar w:fldCharType="begin"/>
          </w:r>
          <w:r>
            <w:rPr>
              <w:rFonts w:hint="eastAsia" w:ascii="宋体" w:hAnsi="宋体" w:eastAsia="宋体" w:cs="宋体"/>
              <w:sz w:val="24"/>
              <w:szCs w:val="24"/>
            </w:rPr>
            <w:instrText xml:space="preserve"> HYPERLINK \l _Toc22718 </w:instrText>
          </w:r>
          <w:r>
            <w:rPr>
              <w:rFonts w:hint="eastAsia" w:ascii="宋体" w:hAnsi="宋体" w:eastAsia="宋体" w:cs="宋体"/>
              <w:sz w:val="24"/>
              <w:szCs w:val="24"/>
            </w:rPr>
            <w:fldChar w:fldCharType="separate"/>
          </w:r>
          <w:r>
            <w:rPr>
              <w:rFonts w:hint="eastAsia" w:ascii="宋体" w:hAnsi="宋体" w:eastAsia="宋体" w:cs="宋体"/>
              <w:sz w:val="24"/>
              <w:szCs w:val="24"/>
            </w:rPr>
            <w:t>十、报告编制说明</w:t>
          </w:r>
          <w:r>
            <w:rPr>
              <w:sz w:val="24"/>
              <w:szCs w:val="24"/>
            </w:rPr>
            <w:tab/>
          </w:r>
          <w:r>
            <w:rPr>
              <w:sz w:val="24"/>
              <w:szCs w:val="24"/>
            </w:rPr>
            <w:fldChar w:fldCharType="begin"/>
          </w:r>
          <w:r>
            <w:rPr>
              <w:sz w:val="24"/>
              <w:szCs w:val="24"/>
            </w:rPr>
            <w:instrText xml:space="preserve"> PAGEREF _Toc22718 </w:instrText>
          </w:r>
          <w:r>
            <w:rPr>
              <w:sz w:val="24"/>
              <w:szCs w:val="24"/>
            </w:rPr>
            <w:fldChar w:fldCharType="separate"/>
          </w:r>
          <w:r>
            <w:rPr>
              <w:sz w:val="24"/>
              <w:szCs w:val="24"/>
            </w:rPr>
            <w:t>15</w:t>
          </w:r>
          <w:r>
            <w:rPr>
              <w:sz w:val="24"/>
              <w:szCs w:val="24"/>
            </w:rPr>
            <w:fldChar w:fldCharType="end"/>
          </w:r>
          <w:r>
            <w:rPr>
              <w:rFonts w:hint="eastAsia" w:ascii="宋体" w:hAnsi="宋体" w:eastAsia="宋体" w:cs="宋体"/>
              <w:color w:val="000000"/>
              <w:sz w:val="24"/>
              <w:szCs w:val="24"/>
            </w:rPr>
            <w:fldChar w:fldCharType="end"/>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fldChar w:fldCharType="end"/>
          </w:r>
        </w:p>
      </w:sdtContent>
    </w:sdt>
    <w:p>
      <w:pPr>
        <w:rPr>
          <w:rFonts w:hint="eastAsia" w:ascii="宋体" w:hAnsi="宋体" w:eastAsia="宋体" w:cs="宋体"/>
          <w:color w:val="000000"/>
          <w:sz w:val="24"/>
          <w:szCs w:val="24"/>
        </w:rPr>
      </w:pPr>
      <w:r>
        <w:rPr>
          <w:rFonts w:hint="eastAsia" w:ascii="宋体" w:hAnsi="宋体" w:eastAsia="宋体" w:cs="宋体"/>
          <w:color w:val="000000"/>
          <w:sz w:val="24"/>
          <w:szCs w:val="24"/>
        </w:rPr>
        <w:br w:type="page"/>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eastAsia" w:ascii="宋体" w:hAnsi="宋体" w:eastAsia="宋体" w:cs="宋体"/>
          <w:color w:val="000000"/>
          <w:sz w:val="24"/>
          <w:szCs w:val="24"/>
        </w:rPr>
      </w:pPr>
      <w:bookmarkStart w:id="1" w:name="_Toc13532"/>
      <w:r>
        <w:rPr>
          <w:rFonts w:hint="eastAsia" w:ascii="宋体" w:hAnsi="宋体" w:eastAsia="宋体" w:cs="宋体"/>
          <w:color w:val="000000"/>
          <w:sz w:val="24"/>
          <w:szCs w:val="24"/>
        </w:rPr>
        <w:t>一、关于本报告</w:t>
      </w:r>
      <w:bookmarkEnd w:id="1"/>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1.1 报告编制说明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本报告为江苏慕林智造科技股份有限公司正式对外发布的年度 ESG 报告，全面披露公司在</w:t>
      </w:r>
      <w:r>
        <w:rPr>
          <w:rStyle w:val="12"/>
          <w:rFonts w:hint="eastAsia" w:ascii="宋体" w:hAnsi="宋体" w:eastAsia="宋体" w:cs="宋体"/>
          <w:color w:val="000000"/>
          <w:kern w:val="0"/>
          <w:sz w:val="24"/>
          <w:szCs w:val="24"/>
          <w:lang w:val="en-US" w:eastAsia="zh-CN" w:bidi="ar"/>
        </w:rPr>
        <w:t>环境、社会、公司治理</w:t>
      </w:r>
      <w:r>
        <w:rPr>
          <w:rFonts w:hint="eastAsia" w:ascii="宋体" w:hAnsi="宋体" w:eastAsia="宋体" w:cs="宋体"/>
          <w:color w:val="000000"/>
          <w:kern w:val="0"/>
          <w:sz w:val="24"/>
          <w:szCs w:val="24"/>
          <w:lang w:val="en-US" w:eastAsia="zh-CN" w:bidi="ar"/>
        </w:rPr>
        <w:t>三大维度的经营实践、管理举措、实施成效与未来发展规划，客观展现企业可持续发展综合实力。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1.2 报告编制依据</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全球报告倡议组织 GRI 可持续发展报告标准</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国内《企业 ESG 信息披露指南》</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GB/T 46566-2025 温室气体管理体系国家标准</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近零碳工厂、绿色工厂评价相关规范</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国家及江苏省碳达峰碳中和、绿色制造相关政策文件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1.3 报告覆盖范围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覆盖公司总部、全部生产厂区、研发中心、仓储物流及全体在职员工；数据以 2025 年度实际经营统计数据为准，部分战略规划延伸至 2026—2028 年中长期发展布局。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1.4 数据来源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企业内部运营统计数据、能源消耗台账、碳排放核算数据、人力资源报表、安全生产记录、供应链管理资料、第三方合规审核资料等，所有数据真实、准确、可追溯。</w:t>
      </w:r>
    </w:p>
    <w:p>
      <w:pP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br w:type="page"/>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eastAsia" w:ascii="宋体" w:hAnsi="宋体" w:eastAsia="宋体" w:cs="宋体"/>
          <w:color w:val="000000"/>
          <w:sz w:val="24"/>
          <w:szCs w:val="24"/>
        </w:rPr>
      </w:pPr>
      <w:bookmarkStart w:id="2" w:name="_Toc24964"/>
      <w:r>
        <w:rPr>
          <w:rFonts w:hint="eastAsia" w:ascii="宋体" w:hAnsi="宋体" w:eastAsia="宋体" w:cs="宋体"/>
          <w:color w:val="000000"/>
          <w:sz w:val="24"/>
          <w:szCs w:val="24"/>
        </w:rPr>
        <w:t>二、企业概况与 ESG 发展战略</w:t>
      </w:r>
      <w:bookmarkEnd w:id="2"/>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2.1 企业基本概况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江苏慕林智造科技股份有限公司专注智能线性驱动核心产品研发、生产组装、市场销售与技术服务，主营产品广泛应用于智能家居、智慧办公、医疗康养、智能安防等多个领域。 公司生产模式以</w:t>
      </w:r>
      <w:r>
        <w:rPr>
          <w:rStyle w:val="12"/>
          <w:rFonts w:hint="eastAsia" w:ascii="宋体" w:hAnsi="宋体" w:eastAsia="宋体" w:cs="宋体"/>
          <w:color w:val="000000"/>
          <w:kern w:val="0"/>
          <w:sz w:val="24"/>
          <w:szCs w:val="24"/>
          <w:lang w:val="en-US" w:eastAsia="zh-CN" w:bidi="ar"/>
        </w:rPr>
        <w:t>成品组装、零部件检测调试</w:t>
      </w:r>
      <w:r>
        <w:rPr>
          <w:rFonts w:hint="eastAsia" w:ascii="宋体" w:hAnsi="宋体" w:eastAsia="宋体" w:cs="宋体"/>
          <w:color w:val="000000"/>
          <w:kern w:val="0"/>
          <w:sz w:val="24"/>
          <w:szCs w:val="24"/>
          <w:lang w:val="en-US" w:eastAsia="zh-CN" w:bidi="ar"/>
        </w:rPr>
        <w:t>为主，无喷涂、无高温加热、无化工生产工序，全厂生产运营唯一消耗能源为电力，无化石燃料燃烧排放，具备天然绿色低碳生产优势，是区域内绿色制造重点培育企业。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color w:val="000000"/>
          <w:kern w:val="0"/>
          <w:sz w:val="24"/>
          <w:szCs w:val="24"/>
          <w:lang w:val="en-US" w:eastAsia="zh-CN" w:bidi="ar"/>
        </w:rPr>
      </w:pPr>
      <w:r>
        <w:drawing>
          <wp:inline distT="0" distB="0" distL="114300" distR="114300">
            <wp:extent cx="5268595" cy="3055620"/>
            <wp:effectExtent l="0" t="0" r="1905" b="508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7"/>
                    <a:stretch>
                      <a:fillRect/>
                    </a:stretch>
                  </pic:blipFill>
                  <pic:spPr>
                    <a:xfrm>
                      <a:off x="0" y="0"/>
                      <a:ext cx="5268595" cy="3055620"/>
                    </a:xfrm>
                    <a:prstGeom prst="rect">
                      <a:avLst/>
                    </a:prstGeom>
                    <a:noFill/>
                    <a:ln>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2.2 组织架构与 ESG 管理体系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公司成立</w:t>
      </w:r>
      <w:r>
        <w:rPr>
          <w:rStyle w:val="12"/>
          <w:rFonts w:hint="eastAsia" w:ascii="宋体" w:hAnsi="宋体" w:eastAsia="宋体" w:cs="宋体"/>
          <w:color w:val="000000"/>
          <w:kern w:val="0"/>
          <w:sz w:val="24"/>
          <w:szCs w:val="24"/>
          <w:lang w:val="en-US" w:eastAsia="zh-CN" w:bidi="ar"/>
        </w:rPr>
        <w:t>ESG 可持续发展管理委员会</w:t>
      </w:r>
      <w:r>
        <w:rPr>
          <w:rFonts w:hint="eastAsia" w:ascii="宋体" w:hAnsi="宋体" w:eastAsia="宋体" w:cs="宋体"/>
          <w:color w:val="000000"/>
          <w:kern w:val="0"/>
          <w:sz w:val="24"/>
          <w:szCs w:val="24"/>
          <w:lang w:val="en-US" w:eastAsia="zh-CN" w:bidi="ar"/>
        </w:rPr>
        <w:t>，由企业最高管理者担任主任委员，统筹统筹企业整体 ESG 战略制定与落地实施； 设立</w:t>
      </w:r>
      <w:r>
        <w:rPr>
          <w:rStyle w:val="12"/>
          <w:rFonts w:hint="eastAsia" w:ascii="宋体" w:hAnsi="宋体" w:eastAsia="宋体" w:cs="宋体"/>
          <w:color w:val="000000"/>
          <w:kern w:val="0"/>
          <w:sz w:val="24"/>
          <w:szCs w:val="24"/>
          <w:lang w:val="en-US" w:eastAsia="zh-CN" w:bidi="ar"/>
        </w:rPr>
        <w:t>首席双碳官</w:t>
      </w:r>
      <w:r>
        <w:rPr>
          <w:rFonts w:hint="eastAsia" w:ascii="宋体" w:hAnsi="宋体" w:eastAsia="宋体" w:cs="宋体"/>
          <w:color w:val="000000"/>
          <w:kern w:val="0"/>
          <w:sz w:val="24"/>
          <w:szCs w:val="24"/>
          <w:lang w:val="en-US" w:eastAsia="zh-CN" w:bidi="ar"/>
        </w:rPr>
        <w:t>专职岗位，全面负责近零碳工厂建设、温室气体管控、产品碳足迹优化、低碳物流管理等专项工作； 下设碳排放管理办公室、ESG 工作小组，跨部门协同推进环境降碳、员工关怀、供应链管理、合规治理等日常工作，建立</w:t>
      </w:r>
      <w:r>
        <w:rPr>
          <w:rStyle w:val="12"/>
          <w:rFonts w:hint="eastAsia" w:ascii="宋体" w:hAnsi="宋体" w:eastAsia="宋体" w:cs="宋体"/>
          <w:color w:val="000000"/>
          <w:kern w:val="0"/>
          <w:sz w:val="24"/>
          <w:szCs w:val="24"/>
          <w:lang w:val="en-US" w:eastAsia="zh-CN" w:bidi="ar"/>
        </w:rPr>
        <w:t>月度跟进、季度评审、年度总结</w:t>
      </w:r>
      <w:r>
        <w:rPr>
          <w:rFonts w:hint="eastAsia" w:ascii="宋体" w:hAnsi="宋体" w:eastAsia="宋体" w:cs="宋体"/>
          <w:color w:val="000000"/>
          <w:kern w:val="0"/>
          <w:sz w:val="24"/>
          <w:szCs w:val="24"/>
          <w:lang w:val="en-US" w:eastAsia="zh-CN" w:bidi="ar"/>
        </w:rPr>
        <w:t>的常态化 ESG 工作机制。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2.3 企业 ESG 发展理念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color w:val="000000"/>
          <w:sz w:val="24"/>
          <w:szCs w:val="24"/>
        </w:rPr>
      </w:pPr>
      <w:r>
        <w:rPr>
          <w:rStyle w:val="12"/>
          <w:rFonts w:hint="eastAsia" w:ascii="宋体" w:hAnsi="宋体" w:eastAsia="宋体" w:cs="宋体"/>
          <w:color w:val="000000"/>
          <w:kern w:val="0"/>
          <w:sz w:val="24"/>
          <w:szCs w:val="24"/>
          <w:lang w:val="en-US" w:eastAsia="zh-CN" w:bidi="ar"/>
        </w:rPr>
        <w:t>发展理念</w:t>
      </w:r>
      <w:r>
        <w:rPr>
          <w:rFonts w:hint="eastAsia" w:ascii="宋体" w:hAnsi="宋体" w:eastAsia="宋体" w:cs="宋体"/>
          <w:color w:val="000000"/>
          <w:kern w:val="0"/>
          <w:sz w:val="24"/>
          <w:szCs w:val="24"/>
          <w:lang w:val="en-US" w:eastAsia="zh-CN" w:bidi="ar"/>
        </w:rPr>
        <w:t xml:space="preserve">：绿色赋能智造，责任成就未来 </w:t>
      </w:r>
      <w:r>
        <w:rPr>
          <w:rStyle w:val="12"/>
          <w:rFonts w:hint="eastAsia" w:ascii="宋体" w:hAnsi="宋体" w:eastAsia="宋体" w:cs="宋体"/>
          <w:color w:val="000000"/>
          <w:kern w:val="0"/>
          <w:sz w:val="24"/>
          <w:szCs w:val="24"/>
          <w:lang w:val="en-US" w:eastAsia="zh-CN" w:bidi="ar"/>
        </w:rPr>
        <w:t>环境理念</w:t>
      </w:r>
      <w:r>
        <w:rPr>
          <w:rFonts w:hint="eastAsia" w:ascii="宋体" w:hAnsi="宋体" w:eastAsia="宋体" w:cs="宋体"/>
          <w:color w:val="000000"/>
          <w:kern w:val="0"/>
          <w:sz w:val="24"/>
          <w:szCs w:val="24"/>
          <w:lang w:val="en-US" w:eastAsia="zh-CN" w:bidi="ar"/>
        </w:rPr>
        <w:t xml:space="preserve">：节能降耗、绿电替代、源头减碳、全程控排 </w:t>
      </w:r>
      <w:r>
        <w:rPr>
          <w:rStyle w:val="12"/>
          <w:rFonts w:hint="eastAsia" w:ascii="宋体" w:hAnsi="宋体" w:eastAsia="宋体" w:cs="宋体"/>
          <w:color w:val="000000"/>
          <w:kern w:val="0"/>
          <w:sz w:val="24"/>
          <w:szCs w:val="24"/>
          <w:lang w:val="en-US" w:eastAsia="zh-CN" w:bidi="ar"/>
        </w:rPr>
        <w:t>社会理念</w:t>
      </w:r>
      <w:r>
        <w:rPr>
          <w:rFonts w:hint="eastAsia" w:ascii="宋体" w:hAnsi="宋体" w:eastAsia="宋体" w:cs="宋体"/>
          <w:color w:val="000000"/>
          <w:kern w:val="0"/>
          <w:sz w:val="24"/>
          <w:szCs w:val="24"/>
          <w:lang w:val="en-US" w:eastAsia="zh-CN" w:bidi="ar"/>
        </w:rPr>
        <w:t xml:space="preserve">：善待员工、严控品质、协同供应链、回馈社会 </w:t>
      </w:r>
      <w:r>
        <w:rPr>
          <w:rStyle w:val="12"/>
          <w:rFonts w:hint="eastAsia" w:ascii="宋体" w:hAnsi="宋体" w:eastAsia="宋体" w:cs="宋体"/>
          <w:color w:val="000000"/>
          <w:kern w:val="0"/>
          <w:sz w:val="24"/>
          <w:szCs w:val="24"/>
          <w:lang w:val="en-US" w:eastAsia="zh-CN" w:bidi="ar"/>
        </w:rPr>
        <w:t>治理理念</w:t>
      </w:r>
      <w:r>
        <w:rPr>
          <w:rFonts w:hint="eastAsia" w:ascii="宋体" w:hAnsi="宋体" w:eastAsia="宋体" w:cs="宋体"/>
          <w:color w:val="000000"/>
          <w:kern w:val="0"/>
          <w:sz w:val="24"/>
          <w:szCs w:val="24"/>
          <w:lang w:val="en-US" w:eastAsia="zh-CN" w:bidi="ar"/>
        </w:rPr>
        <w:t>：合规经营、透明管理、诚信务实、稳健发展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2.4 中长期 ESG 发展总目标</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短期目标：完善温室气体管理体系，完成全厂碳排放全维度盘查，落地基础节能改造，稳步推进绿色电力使用，夯实近零碳工厂建设基础。</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中期目标：全面深化生产环节节能降碳改造，大幅提升绿电使用占比，建立完善绿色供应链管理体系，完成全品类产品碳足迹核算与优化。</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长期目标：全面建成标准化近零碳工厂，实现产品全生命周期低碳管控，打造行业内组装制造领域可持续发展示范企业。</w:t>
      </w:r>
    </w:p>
    <w:p>
      <w:pPr>
        <w:rPr>
          <w:rFonts w:hint="eastAsia" w:ascii="宋体" w:hAnsi="宋体" w:eastAsia="宋体" w:cs="宋体"/>
          <w:color w:val="000000"/>
          <w:sz w:val="24"/>
          <w:szCs w:val="24"/>
        </w:rPr>
      </w:pPr>
      <w:r>
        <w:rPr>
          <w:rFonts w:hint="eastAsia" w:ascii="宋体" w:hAnsi="宋体" w:eastAsia="宋体" w:cs="宋体"/>
          <w:color w:val="000000"/>
          <w:sz w:val="24"/>
          <w:szCs w:val="24"/>
        </w:rPr>
        <w:br w:type="page"/>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562" w:firstLineChars="200"/>
        <w:textAlignment w:val="auto"/>
        <w:outlineLvl w:val="0"/>
        <w:rPr>
          <w:rFonts w:hint="eastAsia" w:ascii="宋体" w:hAnsi="宋体" w:eastAsia="宋体" w:cs="宋体"/>
          <w:b/>
          <w:bCs w:val="0"/>
          <w:color w:val="00B050"/>
          <w:sz w:val="28"/>
          <w:szCs w:val="28"/>
        </w:rPr>
      </w:pPr>
      <w:bookmarkStart w:id="3" w:name="_Toc23639"/>
      <w:r>
        <w:rPr>
          <w:rFonts w:hint="eastAsia" w:ascii="宋体" w:hAnsi="宋体" w:eastAsia="宋体" w:cs="宋体"/>
          <w:b/>
          <w:bCs w:val="0"/>
          <w:color w:val="00B050"/>
          <w:sz w:val="28"/>
          <w:szCs w:val="28"/>
        </w:rPr>
        <w:t>三、环境治理（E）：绿色智造 低碳发展</w:t>
      </w:r>
      <w:bookmarkEnd w:id="3"/>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3.1 双碳战略整体布局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公司积极响应国家双碳战略号召，依托自身纯电力用能结构优势，制定清晰的低碳发展路线，以</w:t>
      </w:r>
      <w:r>
        <w:rPr>
          <w:rStyle w:val="12"/>
          <w:rFonts w:hint="eastAsia" w:ascii="宋体" w:hAnsi="宋体" w:eastAsia="宋体" w:cs="宋体"/>
          <w:color w:val="000000"/>
          <w:kern w:val="0"/>
          <w:sz w:val="24"/>
          <w:szCs w:val="24"/>
          <w:lang w:val="en-US" w:eastAsia="zh-CN" w:bidi="ar"/>
        </w:rPr>
        <w:t>节约用电降碳为基础、绿色电力替代为核心、碳抵消兜底为补充</w:t>
      </w:r>
      <w:r>
        <w:rPr>
          <w:rFonts w:hint="eastAsia" w:ascii="宋体" w:hAnsi="宋体" w:eastAsia="宋体" w:cs="宋体"/>
          <w:color w:val="000000"/>
          <w:kern w:val="0"/>
          <w:sz w:val="24"/>
          <w:szCs w:val="24"/>
          <w:lang w:val="en-US" w:eastAsia="zh-CN" w:bidi="ar"/>
        </w:rPr>
        <w:t>，全方位压缩企业生产运营全流程碳排放总量，持续降低单位产品碳排放强度。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3.2 碳排放</w:t>
      </w:r>
      <w:r>
        <w:rPr>
          <w:rFonts w:hint="eastAsia" w:cs="宋体"/>
          <w:color w:val="000000"/>
          <w:sz w:val="24"/>
          <w:szCs w:val="24"/>
          <w:lang w:val="en-US" w:eastAsia="zh-CN"/>
        </w:rPr>
        <w:t>核算</w:t>
      </w:r>
    </w:p>
    <w:p>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核算边界：全面覆盖范围 1 直接排放、范围 2 外购电力间接排放，同步逐步完善范围 3 上下游供应链间接排放统计核算。</w:t>
      </w:r>
    </w:p>
    <w:p>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核算管理：严格按照国家标准建立碳排放核算制度、数据质量管理规范，明确各岗位数据统计责任人，建立电子化+纸质化双重台账，确保碳排数据全程可溯源、可核查。</w:t>
      </w:r>
    </w:p>
    <w:p>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现状分析：通过产品碳足迹正式核算结果明确，</w:t>
      </w:r>
      <w:r>
        <w:rPr>
          <w:rStyle w:val="12"/>
          <w:rFonts w:hint="eastAsia" w:ascii="宋体" w:hAnsi="宋体" w:eastAsia="宋体" w:cs="宋体"/>
          <w:color w:val="000000"/>
          <w:sz w:val="24"/>
          <w:szCs w:val="24"/>
        </w:rPr>
        <w:t>原材料获取阶段碳排放占比最高，生产组装环节电力消耗碳足迹占比突出</w:t>
      </w:r>
      <w:r>
        <w:rPr>
          <w:rFonts w:hint="eastAsia" w:ascii="宋体" w:hAnsi="宋体" w:eastAsia="宋体" w:cs="宋体"/>
          <w:color w:val="000000"/>
          <w:sz w:val="24"/>
          <w:szCs w:val="24"/>
        </w:rPr>
        <w:t>，为后续精准降碳明确核心优化方向。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3.3 生产环节节能降碳实践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结合企业组装生产工艺特点，全面推行厂区精益化节电管理：</w:t>
      </w:r>
    </w:p>
    <w:p>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全域照明系统优化，更换高效节能灯具，加装人体感应、分区控制装置，杜绝无效照明用电；</w:t>
      </w:r>
    </w:p>
    <w:p>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生产车间装配设备、检测设备推行智能启停管控，实现人走机停，大幅降低设备空载待机能耗；</w:t>
      </w:r>
    </w:p>
    <w:p>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办公及生产空调系统实行统一温度管控、定时启停管理，提升空调使用能效；</w:t>
      </w:r>
    </w:p>
    <w:p>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优化厂区配电系统，整治线路损耗，提升用电功率因数，从设备端降低电力资源浪费。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3.4 绿色电力应用落地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为快速降低生产阶段产品碳足迹，公司将绿色电力使用作为核心降碳举措：</w:t>
      </w:r>
    </w:p>
    <w:p>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持续加大绿色电力采购规模，逐步替换传统火电，绿电使用部分实现生产环节碳排放清零；</w:t>
      </w:r>
    </w:p>
    <w:p>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科学规划厂房屋顶分布式光伏发电项目，推进清洁能源自发自用，进一步提升厂区零碳能源自给比例；</w:t>
      </w:r>
    </w:p>
    <w:p>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将绿电使用计划纳入年度碳减排目标，稳步提升全厂绿色电力使用占比，从能源结构层面实现深度降碳。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3.5 产品碳足迹专项改善行动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针对碳足迹核算暴露的核心问题，正式出台《产品碳足迹改善提升计划》：</w:t>
      </w:r>
    </w:p>
    <w:p>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源头管控：推行低碳原材料优先选型，联合研发部门优化产品结构，实现产品轻量化设计，减少物料整体使用量；</w:t>
      </w:r>
    </w:p>
    <w:p>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供应链管控：建立低碳供应商准入评价体系，优先扶持低碳生产合作企业，引导上游供应商同步使用绿色电力，降低原材料隐含碳排放量；</w:t>
      </w:r>
    </w:p>
    <w:p>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物流降碳：正式推行《绿色低碳物流管理制度》，全面规范原材料入厂、成品出厂全流程物流管理。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3.6 绿色低碳物流全面推行</w:t>
      </w:r>
    </w:p>
    <w:p>
      <w:pPr>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运输优化：优先选用本地近距离供应商，缩短货物运输半径，推行集中统一发货，提升车辆装载率，减少空载运输；</w:t>
      </w:r>
    </w:p>
    <w:p>
      <w:pPr>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运力升级：与物流承运商签订低碳运输协议，优先调配新能源货运车辆开展货物配送；</w:t>
      </w:r>
    </w:p>
    <w:p>
      <w:pPr>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包装降碳：全面推广可循环周转箱、标准化物流托盘，减少一次性包装耗材使用，落实包装减量化发展要求；</w:t>
      </w:r>
    </w:p>
    <w:p>
      <w:pPr>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数据协同：督促物流合作方如实提供运输里程、车型、能耗等数据，全面完善物流环节碳足迹统计工作。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3.7 资源节约与废弃物管理</w:t>
      </w:r>
    </w:p>
    <w:p>
      <w:pPr>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节约用水用电，推行无纸化绿色办公，全方位营造全员节能低碳工作氛围；</w:t>
      </w:r>
    </w:p>
    <w:p>
      <w:pPr>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生产过程中产生的金属边角料、塑胶废料实行统一分类收集、集中回收再利用，提升固废资源化利用率；</w:t>
      </w:r>
    </w:p>
    <w:p>
      <w:pPr>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严格落实厂区环境日常管控，定期开展环保自查自纠，全年无环境污染事件、无环保行政处罚记录。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3.8 碳抵消长效机制建设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在节能改造、绿电替代完成基础降碳之后，针对企业剩余少量合规碳排放，建立标准化碳抵消机制，通过购买国家核证自愿减排量、绿色电力证书、厂区生态绿化碳汇等合规方式完成碳排放中和，全力冲刺近零碳工厂建设目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outlineLvl w:val="1"/>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3.9 温室气体排放核查与碳足迹核算披露</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公司严格按照 GB/T 32151、GB/T 46566-2025 等国家标准，委托第三方专业机构开展组织层面温室气体排放核查与产品碳足迹核查核算工作，核算边界覆盖范围1直接排放、范围2外购电力间接排放及重点范围3上下游排放，确保数据真实、准确、完整、可追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经第三方核查确认：公司无范围 1 化石燃料燃烧排放，碳排放主要来自范围 2 外购电力；产品碳足迹核算结果显示，原材料获取阶段碳排放占比较高，生产阶段电力消耗碳足迹占比突出。公司已依据核算结论制定《产品碳足迹改善计划》，通过绿色电力替代、低碳原材料选型、绿色低碳物流、节能降耗管理等措施，系统性降低全生命周期碳排放量。</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09"/>
        <w:gridCol w:w="41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b/>
                <w:bCs/>
                <w:color w:val="000000"/>
                <w:kern w:val="0"/>
                <w:sz w:val="24"/>
                <w:szCs w:val="24"/>
                <w:vertAlign w:val="baseline"/>
                <w:lang w:val="en-US" w:eastAsia="zh-CN" w:bidi="ar"/>
              </w:rPr>
            </w:pPr>
            <w:r>
              <w:drawing>
                <wp:inline distT="0" distB="0" distL="114300" distR="114300">
                  <wp:extent cx="2705100" cy="3934460"/>
                  <wp:effectExtent l="0" t="0" r="0" b="2540"/>
                  <wp:docPr id="1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83"/>
                          <pic:cNvPicPr>
                            <a:picLocks noChangeAspect="1"/>
                          </pic:cNvPicPr>
                        </pic:nvPicPr>
                        <pic:blipFill>
                          <a:blip r:embed="rId8"/>
                          <a:stretch>
                            <a:fillRect/>
                          </a:stretch>
                        </pic:blipFill>
                        <pic:spPr>
                          <a:xfrm>
                            <a:off x="0" y="0"/>
                            <a:ext cx="2705100" cy="3934460"/>
                          </a:xfrm>
                          <a:prstGeom prst="rect">
                            <a:avLst/>
                          </a:prstGeom>
                          <a:noFill/>
                          <a:ln>
                            <a:noFill/>
                          </a:ln>
                        </pic:spPr>
                      </pic:pic>
                    </a:graphicData>
                  </a:graphic>
                </wp:inline>
              </w:drawing>
            </w:r>
          </w:p>
        </w:tc>
        <w:tc>
          <w:tcPr>
            <w:tcW w:w="426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b/>
                <w:bCs/>
                <w:color w:val="000000"/>
                <w:kern w:val="0"/>
                <w:sz w:val="24"/>
                <w:szCs w:val="24"/>
                <w:vertAlign w:val="baseline"/>
                <w:lang w:val="en-US" w:eastAsia="zh-CN" w:bidi="ar"/>
              </w:rPr>
            </w:pPr>
            <w:r>
              <w:drawing>
                <wp:inline distT="0" distB="0" distL="114300" distR="114300">
                  <wp:extent cx="2503805" cy="3836670"/>
                  <wp:effectExtent l="0" t="0" r="10795" b="11430"/>
                  <wp:docPr id="25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39"/>
                          <pic:cNvPicPr>
                            <a:picLocks noChangeAspect="1"/>
                          </pic:cNvPicPr>
                        </pic:nvPicPr>
                        <pic:blipFill>
                          <a:blip r:embed="rId9"/>
                          <a:stretch>
                            <a:fillRect/>
                          </a:stretch>
                        </pic:blipFill>
                        <pic:spPr>
                          <a:xfrm>
                            <a:off x="0" y="0"/>
                            <a:ext cx="2503805" cy="3836670"/>
                          </a:xfrm>
                          <a:prstGeom prst="rect">
                            <a:avLst/>
                          </a:prstGeom>
                          <a:noFill/>
                          <a:ln>
                            <a:noFill/>
                          </a:ln>
                        </pic:spPr>
                      </pic:pic>
                    </a:graphicData>
                  </a:graphic>
                </wp:inline>
              </w:drawing>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b/>
          <w:bCs/>
          <w:color w:val="000000"/>
          <w:kern w:val="0"/>
          <w:sz w:val="24"/>
          <w:szCs w:val="24"/>
          <w:lang w:val="en-US" w:eastAsia="zh-CN" w:bidi="ar"/>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outlineLvl w:val="1"/>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3.10 近零碳工厂建设进展披露</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公司全面启动近零碳工厂建设，成立近零碳工厂工作领导小组，设立首席双碳官及碳排放管理专职机构，制定《近零碳工厂建设方案》，明确“节能降碳为基础、绿电替代为核心、碳抵消为补充”的实施路径。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报告期内，公司已完成碳排放清单梳理、能源计量体系完善、基础节能改造、绿色电力采购启动、绿色低碳物流体系搭建、低碳供应链管理推进等工作，近零碳工厂建设按计划稳步实施。公司将持续深化节能降碳改造，扩大绿电使用比例，完善碳抵消机制，力争按期建成管理规范、减排实效、可核查、可认证的近零碳工厂。</w:t>
      </w:r>
    </w:p>
    <w:p>
      <w:pP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br w:type="page"/>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2" w:firstLineChars="200"/>
        <w:textAlignment w:val="auto"/>
        <w:outlineLvl w:val="0"/>
        <w:rPr>
          <w:rFonts w:hint="eastAsia" w:ascii="宋体" w:hAnsi="宋体" w:eastAsia="宋体" w:cs="宋体"/>
          <w:color w:val="00B0F0"/>
          <w:sz w:val="28"/>
          <w:szCs w:val="28"/>
        </w:rPr>
      </w:pPr>
      <w:bookmarkStart w:id="4" w:name="_Toc19240"/>
      <w:r>
        <w:rPr>
          <w:rFonts w:hint="eastAsia" w:ascii="宋体" w:hAnsi="宋体" w:eastAsia="宋体" w:cs="宋体"/>
          <w:color w:val="00B0F0"/>
          <w:sz w:val="28"/>
          <w:szCs w:val="28"/>
        </w:rPr>
        <w:t>四、社会责任（S）：以人为本 聚力共生</w:t>
      </w:r>
      <w:bookmarkEnd w:id="4"/>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4.1 员工权益保障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公司始终坚持以人为本的用工理念，严格遵守劳动用工相关法律法规，全面保障全体员工合法权益：</w:t>
      </w:r>
    </w:p>
    <w:p>
      <w:pPr>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依法签订劳动合同，足额缴纳社会保险及住房公积金，完善员工薪酬调整机制，保障员工收入稳定增长；</w:t>
      </w:r>
    </w:p>
    <w:p>
      <w:pPr>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严格规范加班管理，落实带薪年假、法定节假日休假等员工福利，打造公平舒心的职场环境；</w:t>
      </w:r>
    </w:p>
    <w:p>
      <w:pPr>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建立完善员工关怀体系，定期组织员工健康体检、节日慰问、文体团建活动，提升员工归属感与幸福感。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4.2 安全生产与职业健康</w:t>
      </w:r>
    </w:p>
    <w:p>
      <w:pPr>
        <w:keepNext w:val="0"/>
        <w:keepLines w:val="0"/>
        <w:pageBreakBefore w:val="0"/>
        <w:widowControl/>
        <w:numPr>
          <w:ilvl w:val="0"/>
          <w:numId w:val="1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建立健全安全生产管理制度，定期开展车间安全隐患排查整改，从源头防范生产安全事故发生；</w:t>
      </w:r>
    </w:p>
    <w:p>
      <w:pPr>
        <w:keepNext w:val="0"/>
        <w:keepLines w:val="0"/>
        <w:pageBreakBefore w:val="0"/>
        <w:widowControl/>
        <w:numPr>
          <w:ilvl w:val="0"/>
          <w:numId w:val="1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常态化开展安全生产、岗位操作规范、消防安全等专项培训，全面提升一线员工安全作业意识；</w:t>
      </w:r>
    </w:p>
    <w:p>
      <w:pPr>
        <w:keepNext w:val="0"/>
        <w:keepLines w:val="0"/>
        <w:pageBreakBefore w:val="0"/>
        <w:widowControl/>
        <w:numPr>
          <w:ilvl w:val="0"/>
          <w:numId w:val="1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结合企业低风险组装作业特点，落实员工职业健康防护举措，全年实现安全生产零事故目标。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4.3 员工培养与职业发展</w:t>
      </w:r>
    </w:p>
    <w:p>
      <w:pPr>
        <w:keepNext w:val="0"/>
        <w:keepLines w:val="0"/>
        <w:pageBreakBefore w:val="0"/>
        <w:widowControl/>
        <w:numPr>
          <w:ilvl w:val="0"/>
          <w:numId w:val="1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搭建新员工入职培训、岗位技能提升、管理层能力进修多层次培训体系，全方位提升员工综合业务能力；</w:t>
      </w:r>
    </w:p>
    <w:p>
      <w:pPr>
        <w:keepNext w:val="0"/>
        <w:keepLines w:val="0"/>
        <w:pageBreakBefore w:val="0"/>
        <w:widowControl/>
        <w:numPr>
          <w:ilvl w:val="0"/>
          <w:numId w:val="1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打通管理岗、技术岗双向晋升通道，不拘一格选拔优秀人才，为员工提供清晰可持续的职业发展路径；</w:t>
      </w:r>
    </w:p>
    <w:p>
      <w:pPr>
        <w:keepNext w:val="0"/>
        <w:keepLines w:val="0"/>
        <w:pageBreakBefore w:val="0"/>
        <w:widowControl/>
        <w:numPr>
          <w:ilvl w:val="0"/>
          <w:numId w:val="1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吸纳优秀青年人才，重视技术骨干培养，打造稳定、专业、高素质的企业人才队伍。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4.4 产品质量与客户责任</w:t>
      </w:r>
    </w:p>
    <w:p>
      <w:pPr>
        <w:keepNext w:val="0"/>
        <w:keepLines w:val="0"/>
        <w:pageBreakBefore w:val="0"/>
        <w:widowControl/>
        <w:numPr>
          <w:ilvl w:val="0"/>
          <w:numId w:val="1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严格执行产品质量管控体系，从零部件入厂检验、生产组装调试到成品出厂检测建立全流程质检标准，保障交付产品安全可靠、性能稳定；</w:t>
      </w:r>
    </w:p>
    <w:p>
      <w:pPr>
        <w:keepNext w:val="0"/>
        <w:keepLines w:val="0"/>
        <w:pageBreakBefore w:val="0"/>
        <w:widowControl/>
        <w:numPr>
          <w:ilvl w:val="0"/>
          <w:numId w:val="1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聚焦市场客户需求，持续优化产品性能，研发低功耗、高适配性绿色智能产品，助力客户实现终端产品节能降碳；</w:t>
      </w:r>
    </w:p>
    <w:p>
      <w:pPr>
        <w:keepNext w:val="0"/>
        <w:keepLines w:val="0"/>
        <w:pageBreakBefore w:val="0"/>
        <w:widowControl/>
        <w:numPr>
          <w:ilvl w:val="0"/>
          <w:numId w:val="1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建立完善售后服务响应机制，快速解决客户使用难题，持续提升客户满意度与市场口碑。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4.5 绿色供应链协同发展</w:t>
      </w:r>
    </w:p>
    <w:p>
      <w:pPr>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建立供应商分级管理与 ESG 评价机制，将低碳生产能力、环保合规水平纳入供应商考核标准；</w:t>
      </w:r>
    </w:p>
    <w:p>
      <w:pPr>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主动向上下游合作伙伴传递企业绿色发展理念，共享节能降碳实践经验，引导供应链整体实现绿色转型；</w:t>
      </w:r>
    </w:p>
    <w:p>
      <w:pPr>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优先选择具备绿色生产资质、落实低碳管控的优质企业开展长期深度合作，共建稳定健康的绿色产业链生态。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4.6 企业社会公益与地方责任</w:t>
      </w:r>
    </w:p>
    <w:p>
      <w:pPr>
        <w:keepNext w:val="0"/>
        <w:keepLines w:val="0"/>
        <w:pageBreakBefore w:val="0"/>
        <w:widowControl/>
        <w:numPr>
          <w:ilvl w:val="0"/>
          <w:numId w:val="1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扎根地方产业发展，稳定吸纳本地劳动力就业，依法诚信纳税，助力地方经济稳步发展；</w:t>
      </w:r>
    </w:p>
    <w:p>
      <w:pPr>
        <w:keepNext w:val="0"/>
        <w:keepLines w:val="0"/>
        <w:pageBreakBefore w:val="0"/>
        <w:widowControl/>
        <w:numPr>
          <w:ilvl w:val="0"/>
          <w:numId w:val="1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积极响应地方政府公益号召，主动参与社区公益服务、公益帮扶、绿色环保宣传等社会公益活动；</w:t>
      </w:r>
    </w:p>
    <w:p>
      <w:pPr>
        <w:keepNext w:val="0"/>
        <w:keepLines w:val="0"/>
        <w:pageBreakBefore w:val="0"/>
        <w:widowControl/>
        <w:numPr>
          <w:ilvl w:val="0"/>
          <w:numId w:val="1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积极配合地方绿色制造、低碳园区建设相关工作，发挥企业自身优势，助力区域生态环境高质量发展。</w:t>
      </w:r>
    </w:p>
    <w:p>
      <w:pPr>
        <w:rPr>
          <w:rFonts w:hint="eastAsia" w:ascii="宋体" w:hAnsi="宋体" w:eastAsia="宋体" w:cs="宋体"/>
          <w:color w:val="000000"/>
          <w:sz w:val="24"/>
          <w:szCs w:val="24"/>
        </w:rPr>
      </w:pPr>
      <w:r>
        <w:rPr>
          <w:rFonts w:hint="eastAsia" w:ascii="宋体" w:hAnsi="宋体" w:eastAsia="宋体" w:cs="宋体"/>
          <w:color w:val="000000"/>
          <w:sz w:val="24"/>
          <w:szCs w:val="24"/>
        </w:rPr>
        <w:br w:type="page"/>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2" w:firstLineChars="200"/>
        <w:textAlignment w:val="auto"/>
        <w:outlineLvl w:val="0"/>
        <w:rPr>
          <w:rFonts w:hint="eastAsia" w:ascii="宋体" w:hAnsi="宋体" w:eastAsia="宋体" w:cs="宋体"/>
          <w:color w:val="0070C0"/>
          <w:sz w:val="28"/>
          <w:szCs w:val="28"/>
        </w:rPr>
      </w:pPr>
      <w:bookmarkStart w:id="5" w:name="_Toc31687"/>
      <w:r>
        <w:rPr>
          <w:rFonts w:hint="eastAsia" w:ascii="宋体" w:hAnsi="宋体" w:eastAsia="宋体" w:cs="宋体"/>
          <w:color w:val="0070C0"/>
          <w:sz w:val="28"/>
          <w:szCs w:val="28"/>
        </w:rPr>
        <w:t>五、公司治理（G）：规范运营 行稳致远</w:t>
      </w:r>
      <w:bookmarkEnd w:id="5"/>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5.1 完善现代企业治理结构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公司建立权责清晰、相互制衡、科学高效的现代化企业治理架构，明确股东大会、管理层、各职能部门岗位职责，严格落实重大事项集体决策制度，保障企业经营决策科学合理、公开透明。</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5.2 内控合规与风险管理</w:t>
      </w:r>
    </w:p>
    <w:p>
      <w:pPr>
        <w:keepNext w:val="0"/>
        <w:keepLines w:val="0"/>
        <w:pageBreakBefore w:val="0"/>
        <w:widowControl/>
        <w:numPr>
          <w:ilvl w:val="0"/>
          <w:numId w:val="1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建立覆盖生产、采购、销售、财务、环保、人事全领域的内部控制管理制度，筑牢企业经营合规防线；</w:t>
      </w:r>
    </w:p>
    <w:p>
      <w:pPr>
        <w:keepNext w:val="0"/>
        <w:keepLines w:val="0"/>
        <w:pageBreakBefore w:val="0"/>
        <w:widowControl/>
        <w:numPr>
          <w:ilvl w:val="0"/>
          <w:numId w:val="1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定期开展企业经营风险排查、合规自查工作，及时梳理经营过程中潜在风险点，制定针对性防控化解措施；</w:t>
      </w:r>
    </w:p>
    <w:p>
      <w:pPr>
        <w:keepNext w:val="0"/>
        <w:keepLines w:val="0"/>
        <w:pageBreakBefore w:val="0"/>
        <w:widowControl/>
        <w:numPr>
          <w:ilvl w:val="0"/>
          <w:numId w:val="1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常态化开展法律法规、行业政策培训，提升全员合规经营意识，保障企业长期稳定合规运营。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5.3 廉洁经营与商业道德建设</w:t>
      </w:r>
    </w:p>
    <w:p>
      <w:pPr>
        <w:keepNext w:val="0"/>
        <w:keepLines w:val="0"/>
        <w:pageBreakBefore w:val="0"/>
        <w:widowControl/>
        <w:numPr>
          <w:ilvl w:val="0"/>
          <w:numId w:val="1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坚守诚信经营、公平竞争的商业准则，坚决抵制商业贿赂、不正当竞争等违规经营行为；</w:t>
      </w:r>
    </w:p>
    <w:p>
      <w:pPr>
        <w:keepNext w:val="0"/>
        <w:keepLines w:val="0"/>
        <w:pageBreakBefore w:val="0"/>
        <w:widowControl/>
        <w:numPr>
          <w:ilvl w:val="0"/>
          <w:numId w:val="1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建立企业内部廉洁自律管理机制，全员签订廉洁从业承诺书，营造风清气正的企业经营氛围；</w:t>
      </w:r>
    </w:p>
    <w:p>
      <w:pPr>
        <w:keepNext w:val="0"/>
        <w:keepLines w:val="0"/>
        <w:pageBreakBefore w:val="0"/>
        <w:widowControl/>
        <w:numPr>
          <w:ilvl w:val="0"/>
          <w:numId w:val="1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对外合作过程中坚守商业信誉，严守合作契约精神，维护良好行业经营秩序。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5.4 信息公开与利益相关方沟通</w:t>
      </w:r>
    </w:p>
    <w:p>
      <w:pPr>
        <w:keepNext w:val="0"/>
        <w:keepLines w:val="0"/>
        <w:pageBreakBefore w:val="0"/>
        <w:widowControl/>
        <w:numPr>
          <w:ilvl w:val="0"/>
          <w:numId w:val="1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主动畅通与员工、客户、供应商、投资者、政府主管部门、周边社区多方沟通渠道，及时倾听各方意见与合理诉求；</w:t>
      </w:r>
    </w:p>
    <w:p>
      <w:pPr>
        <w:keepNext w:val="0"/>
        <w:keepLines w:val="0"/>
        <w:pageBreakBefore w:val="0"/>
        <w:widowControl/>
        <w:numPr>
          <w:ilvl w:val="0"/>
          <w:numId w:val="1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严格按照要求做好企业经营信息、环保信息、低碳发展信息公开披露工作，主动接受社会各界监督；</w:t>
      </w:r>
    </w:p>
    <w:p>
      <w:pPr>
        <w:keepNext w:val="0"/>
        <w:keepLines w:val="0"/>
        <w:pageBreakBefore w:val="0"/>
        <w:widowControl/>
        <w:numPr>
          <w:ilvl w:val="0"/>
          <w:numId w:val="1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积极响应政府部门各项产业政策、环保政策、低碳管控政策，全力配合各项监督检查工作。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5.5 企业文化可持续建设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将绿色低碳、诚信务实、团结奋进的发展理念融入企业文化建设，通过内部宣传、专题培训、节能活动等多种形式，让绿色发展、可持续发展理念深入全体员工内心，形成全员参与、全员践行的良好企业发展氛围。</w:t>
      </w:r>
    </w:p>
    <w:p>
      <w:pP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br w:type="page"/>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eastAsia" w:ascii="宋体" w:hAnsi="宋体" w:eastAsia="宋体" w:cs="宋体"/>
          <w:color w:val="000000"/>
          <w:sz w:val="24"/>
          <w:szCs w:val="24"/>
        </w:rPr>
      </w:pPr>
      <w:bookmarkStart w:id="6" w:name="_Toc25061"/>
      <w:r>
        <w:rPr>
          <w:rFonts w:hint="eastAsia" w:ascii="宋体" w:hAnsi="宋体" w:eastAsia="宋体" w:cs="宋体"/>
          <w:color w:val="000000"/>
          <w:sz w:val="24"/>
          <w:szCs w:val="24"/>
        </w:rPr>
        <w:t>六、年度 ESG 核心绩效亮点</w:t>
      </w:r>
      <w:bookmarkEnd w:id="6"/>
    </w:p>
    <w:p>
      <w:pPr>
        <w:keepNext w:val="0"/>
        <w:keepLines w:val="0"/>
        <w:pageBreakBefore w:val="0"/>
        <w:widowControl/>
        <w:numPr>
          <w:ilvl w:val="0"/>
          <w:numId w:val="1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环境绩效：完成全厂碳排放全面盘查，搭建完整碳管理台账体系；多项厂区节能改造项目落地实施，单位产品耗电量稳步下降；正式启动绿色电力采购工作，近零碳工厂建设稳步推进。</w:t>
      </w:r>
    </w:p>
    <w:p>
      <w:pPr>
        <w:keepNext w:val="0"/>
        <w:keepLines w:val="0"/>
        <w:pageBreakBefore w:val="0"/>
        <w:widowControl/>
        <w:numPr>
          <w:ilvl w:val="0"/>
          <w:numId w:val="1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社会绩效：员工团队稳定性持续提升，全员培训覆盖率 100%；全年安全生产零事故；产品市场品质口碑持续提升；绿色供应链布局初步成型。</w:t>
      </w:r>
    </w:p>
    <w:p>
      <w:pPr>
        <w:keepNext w:val="0"/>
        <w:keepLines w:val="0"/>
        <w:pageBreakBefore w:val="0"/>
        <w:widowControl/>
        <w:numPr>
          <w:ilvl w:val="0"/>
          <w:numId w:val="1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治理绩效：ESG 专项管理组织架构全面搭建，首席双碳官岗位职责落地执行；企业内控管理制度持续完善，全年无重大经营合规风险事件。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eastAsia" w:ascii="宋体" w:hAnsi="宋体" w:eastAsia="宋体" w:cs="宋体"/>
          <w:color w:val="000000"/>
          <w:sz w:val="24"/>
          <w:szCs w:val="24"/>
        </w:rPr>
      </w:pPr>
      <w:bookmarkStart w:id="7" w:name="_Toc14861"/>
      <w:r>
        <w:rPr>
          <w:rFonts w:hint="eastAsia" w:ascii="宋体" w:hAnsi="宋体" w:eastAsia="宋体" w:cs="宋体"/>
          <w:color w:val="000000"/>
          <w:sz w:val="24"/>
          <w:szCs w:val="24"/>
        </w:rPr>
        <w:t>七、现存不足与改进方向</w:t>
      </w:r>
      <w:bookmarkEnd w:id="7"/>
    </w:p>
    <w:p>
      <w:pPr>
        <w:keepNext w:val="0"/>
        <w:keepLines w:val="0"/>
        <w:pageBreakBefore w:val="0"/>
        <w:widowControl/>
        <w:numPr>
          <w:ilvl w:val="0"/>
          <w:numId w:val="1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不足：范围 3 供应链碳排放统计体系仍需完善；厂区清洁能源自给占比有待进一步提升；低碳产品市场推广力度需要加强。</w:t>
      </w:r>
    </w:p>
    <w:p>
      <w:pPr>
        <w:keepNext w:val="0"/>
        <w:keepLines w:val="0"/>
        <w:pageBreakBefore w:val="0"/>
        <w:widowControl/>
        <w:numPr>
          <w:ilvl w:val="0"/>
          <w:numId w:val="1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改进方向：加快完善上下游供应链碳数据收集统计；加快推进分布式光伏项目落地；加大低碳产品市场宣传与推广力度，提升绿色产品市场占有率。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eastAsia" w:ascii="宋体" w:hAnsi="宋体" w:eastAsia="宋体" w:cs="宋体"/>
          <w:color w:val="000000"/>
          <w:sz w:val="24"/>
          <w:szCs w:val="24"/>
        </w:rPr>
      </w:pPr>
      <w:bookmarkStart w:id="8" w:name="_Toc31421"/>
      <w:r>
        <w:rPr>
          <w:rFonts w:hint="eastAsia" w:ascii="宋体" w:hAnsi="宋体" w:eastAsia="宋体" w:cs="宋体"/>
          <w:color w:val="000000"/>
          <w:sz w:val="24"/>
          <w:szCs w:val="24"/>
        </w:rPr>
        <w:t>八、2026 年 ESG 重点发展规划</w:t>
      </w:r>
      <w:bookmarkEnd w:id="8"/>
    </w:p>
    <w:p>
      <w:pPr>
        <w:keepNext w:val="0"/>
        <w:keepLines w:val="0"/>
        <w:pageBreakBefore w:val="0"/>
        <w:widowControl/>
        <w:numPr>
          <w:ilvl w:val="0"/>
          <w:numId w:val="2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环境层面：持续深化厂区节能降耗改造，扩大绿电采购比例，加快光伏项目落地，全面落地产品碳足迹各项改善举措，深化绿色低碳物流管控。</w:t>
      </w:r>
    </w:p>
    <w:p>
      <w:pPr>
        <w:keepNext w:val="0"/>
        <w:keepLines w:val="0"/>
        <w:pageBreakBefore w:val="0"/>
        <w:widowControl/>
        <w:numPr>
          <w:ilvl w:val="0"/>
          <w:numId w:val="2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社会层面：进一步优化员工福利体系，拓宽人才培养渠道；持续强化产品核心竞争力，深化绿色供应链协同降碳工作。</w:t>
      </w:r>
    </w:p>
    <w:p>
      <w:pPr>
        <w:keepNext w:val="0"/>
        <w:keepLines w:val="0"/>
        <w:pageBreakBefore w:val="0"/>
        <w:widowControl/>
        <w:numPr>
          <w:ilvl w:val="0"/>
          <w:numId w:val="2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治理层面：持续优化 ESG 考核管理机制，完善温室气体管理体系内审流程，进一步提升企业规范化、透明化运营水平。</w:t>
      </w:r>
    </w:p>
    <w:p>
      <w:pPr>
        <w:keepNext w:val="0"/>
        <w:keepLines w:val="0"/>
        <w:pageBreakBefore w:val="0"/>
        <w:widowControl/>
        <w:numPr>
          <w:ilvl w:val="0"/>
          <w:numId w:val="2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整体目标：稳步推进近零碳工厂阶段性创建目标达成，全面提升企业综合可持续发展能力。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eastAsia" w:ascii="宋体" w:hAnsi="宋体" w:eastAsia="宋体" w:cs="宋体"/>
          <w:color w:val="000000"/>
          <w:sz w:val="24"/>
          <w:szCs w:val="24"/>
        </w:rPr>
      </w:pPr>
      <w:bookmarkStart w:id="9" w:name="_Toc25380"/>
      <w:r>
        <w:rPr>
          <w:rFonts w:hint="eastAsia" w:ascii="宋体" w:hAnsi="宋体" w:eastAsia="宋体" w:cs="宋体"/>
          <w:color w:val="000000"/>
          <w:sz w:val="24"/>
          <w:szCs w:val="24"/>
        </w:rPr>
        <w:t>九、报告结语与利益相关方沟通</w:t>
      </w:r>
      <w:bookmarkEnd w:id="9"/>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绿色发展是时代大势，责任发展是企业根基。未来江苏慕林智造科技股份有限公司将始终坚守可持续发展初心，持续深耕智能驱动主业，坚定不移走绿色低碳高质量发展道路，不断补齐发展短板、放大绿色发展优势，以更务实的举措、更坚定的态度履行企业环境责任、社会责任与治理责任。 公司将持续加强与所有利益相关方的深度协同合作，携手上下游合作伙伴共同践行绿色发展使命，为制造业绿色低碳转型、区域生态环境高质量发展贡献更多企业力量。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eastAsia" w:ascii="宋体" w:hAnsi="宋体" w:eastAsia="宋体" w:cs="宋体"/>
          <w:color w:val="000000"/>
          <w:sz w:val="24"/>
          <w:szCs w:val="24"/>
        </w:rPr>
      </w:pPr>
      <w:bookmarkStart w:id="10" w:name="_Toc22718"/>
      <w:r>
        <w:rPr>
          <w:rFonts w:hint="eastAsia" w:ascii="宋体" w:hAnsi="宋体" w:eastAsia="宋体" w:cs="宋体"/>
          <w:color w:val="000000"/>
          <w:sz w:val="24"/>
          <w:szCs w:val="24"/>
        </w:rPr>
        <w:t>十、报告编制说明</w:t>
      </w:r>
      <w:bookmarkEnd w:id="10"/>
    </w:p>
    <w:p>
      <w:pPr>
        <w:keepNext w:val="0"/>
        <w:keepLines w:val="0"/>
        <w:pageBreakBefore w:val="0"/>
        <w:widowControl/>
        <w:numPr>
          <w:ilvl w:val="0"/>
          <w:numId w:val="2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本报告所有内容及数据均来自公司内部正式统计资料，内容客观真实，无虚假记载、误导性陈述。</w:t>
      </w:r>
    </w:p>
    <w:p>
      <w:pPr>
        <w:keepNext w:val="0"/>
        <w:keepLines w:val="0"/>
        <w:pageBreakBefore w:val="0"/>
        <w:widowControl/>
        <w:numPr>
          <w:ilvl w:val="0"/>
          <w:numId w:val="2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本报告为企业内部管控、对外披露、客户审核、低碳评审通用正式文件，未经公司允许不得随意篡改删减内容。</w:t>
      </w:r>
    </w:p>
    <w:p>
      <w:pPr>
        <w:keepNext w:val="0"/>
        <w:keepLines w:val="0"/>
        <w:pageBreakBefore w:val="0"/>
        <w:widowControl/>
        <w:numPr>
          <w:ilvl w:val="0"/>
          <w:numId w:val="2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如需咨询本报告相关内容，可联系公司 ESG 工作小组及碳排放管理办公室进行沟通对接。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right"/>
        <w:textAlignment w:val="auto"/>
        <w:rPr>
          <w:rFonts w:hint="eastAsia" w:ascii="宋体" w:hAnsi="宋体" w:eastAsia="宋体" w:cs="宋体"/>
          <w:color w:val="000000"/>
          <w:kern w:val="0"/>
          <w:sz w:val="24"/>
          <w:szCs w:val="24"/>
          <w:lang w:val="en-US" w:eastAsia="zh-CN" w:bidi="ar"/>
        </w:rPr>
      </w:pPr>
      <w:r>
        <w:rPr>
          <w:rStyle w:val="12"/>
          <w:rFonts w:hint="eastAsia" w:ascii="宋体" w:hAnsi="宋体" w:eastAsia="宋体" w:cs="宋体"/>
          <w:color w:val="000000"/>
          <w:kern w:val="0"/>
          <w:sz w:val="24"/>
          <w:szCs w:val="24"/>
          <w:lang w:val="en-US" w:eastAsia="zh-CN" w:bidi="ar"/>
        </w:rPr>
        <w:t>江苏慕林智造科技股份有限公司</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right"/>
        <w:textAlignment w:val="auto"/>
        <w:rPr>
          <w:rFonts w:hint="eastAsia" w:ascii="宋体" w:hAnsi="宋体" w:eastAsia="宋体" w:cs="宋体"/>
          <w:color w:val="000000"/>
          <w:sz w:val="24"/>
          <w:szCs w:val="24"/>
        </w:rPr>
      </w:pPr>
      <w:r>
        <w:rPr>
          <w:rStyle w:val="12"/>
          <w:rFonts w:hint="eastAsia" w:ascii="宋体" w:hAnsi="宋体" w:eastAsia="宋体" w:cs="宋体"/>
          <w:color w:val="000000"/>
          <w:kern w:val="0"/>
          <w:sz w:val="24"/>
          <w:szCs w:val="24"/>
          <w:lang w:val="en-US" w:eastAsia="zh-CN" w:bidi="ar"/>
        </w:rPr>
        <w:t>2026 年 04 月 20 日</w:t>
      </w:r>
    </w:p>
    <w:p>
      <w:pPr>
        <w:keepNext w:val="0"/>
        <w:keepLines w:val="0"/>
        <w:pageBreakBefore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sz w:val="24"/>
          <w:szCs w:val="24"/>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pBdr>
        <w:top w:val="none" w:color="auto" w:sz="0" w:space="0"/>
        <w:left w:val="none" w:color="auto" w:sz="0" w:space="0"/>
        <w:bottom w:val="single" w:color="auto" w:sz="4"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right"/>
      <w:textAlignment w:val="auto"/>
      <w:outlineLvl w:val="9"/>
      <w:rPr>
        <w:sz w:val="15"/>
        <w:szCs w:val="18"/>
        <w:u w:val="none"/>
      </w:rPr>
    </w:pPr>
    <w:r>
      <w:rPr>
        <w:rFonts w:hint="eastAsia" w:ascii="宋体" w:hAnsi="宋体" w:eastAsia="宋体" w:cs="宋体"/>
        <w:b/>
        <w:bCs w:val="0"/>
        <w:i/>
        <w:iCs/>
        <w:color w:val="00B050"/>
        <w:sz w:val="32"/>
        <w:szCs w:val="32"/>
        <w:u w:val="none"/>
      </w:rPr>
      <w:t>零碳智造・责任同行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474697"/>
    <w:multiLevelType w:val="multilevel"/>
    <w:tmpl w:val="9E47469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A06C1F86"/>
    <w:multiLevelType w:val="multilevel"/>
    <w:tmpl w:val="A06C1F8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A950BF81"/>
    <w:multiLevelType w:val="multilevel"/>
    <w:tmpl w:val="A950BF8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AAC61B5C"/>
    <w:multiLevelType w:val="multilevel"/>
    <w:tmpl w:val="AAC61B5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AE41CC6E"/>
    <w:multiLevelType w:val="multilevel"/>
    <w:tmpl w:val="AE41CC6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5">
    <w:nsid w:val="C4BA91F2"/>
    <w:multiLevelType w:val="multilevel"/>
    <w:tmpl w:val="C4BA91F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D836F0E4"/>
    <w:multiLevelType w:val="multilevel"/>
    <w:tmpl w:val="D836F0E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7">
    <w:nsid w:val="E39A2DC8"/>
    <w:multiLevelType w:val="multilevel"/>
    <w:tmpl w:val="E39A2DC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8">
    <w:nsid w:val="E992A394"/>
    <w:multiLevelType w:val="multilevel"/>
    <w:tmpl w:val="E992A39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9">
    <w:nsid w:val="F027E7F3"/>
    <w:multiLevelType w:val="multilevel"/>
    <w:tmpl w:val="F027E7F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0">
    <w:nsid w:val="19E0E3B9"/>
    <w:multiLevelType w:val="multilevel"/>
    <w:tmpl w:val="19E0E3B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1">
    <w:nsid w:val="1B99A3A5"/>
    <w:multiLevelType w:val="multilevel"/>
    <w:tmpl w:val="1B99A3A5"/>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2">
    <w:nsid w:val="1F81529C"/>
    <w:multiLevelType w:val="multilevel"/>
    <w:tmpl w:val="1F81529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3">
    <w:nsid w:val="27390E17"/>
    <w:multiLevelType w:val="multilevel"/>
    <w:tmpl w:val="27390E1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4">
    <w:nsid w:val="33D4C373"/>
    <w:multiLevelType w:val="multilevel"/>
    <w:tmpl w:val="33D4C37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5">
    <w:nsid w:val="3A28B5B6"/>
    <w:multiLevelType w:val="multilevel"/>
    <w:tmpl w:val="3A28B5B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6">
    <w:nsid w:val="4966625E"/>
    <w:multiLevelType w:val="multilevel"/>
    <w:tmpl w:val="4966625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7">
    <w:nsid w:val="4D9DB39B"/>
    <w:multiLevelType w:val="multilevel"/>
    <w:tmpl w:val="4D9DB39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8">
    <w:nsid w:val="58C20CE1"/>
    <w:multiLevelType w:val="multilevel"/>
    <w:tmpl w:val="58C20CE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9">
    <w:nsid w:val="651A426E"/>
    <w:multiLevelType w:val="multilevel"/>
    <w:tmpl w:val="651A426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0">
    <w:nsid w:val="7E77DB5E"/>
    <w:multiLevelType w:val="multilevel"/>
    <w:tmpl w:val="7E77DB5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13"/>
  </w:num>
  <w:num w:numId="2">
    <w:abstractNumId w:val="11"/>
  </w:num>
  <w:num w:numId="3">
    <w:abstractNumId w:val="18"/>
  </w:num>
  <w:num w:numId="4">
    <w:abstractNumId w:val="2"/>
  </w:num>
  <w:num w:numId="5">
    <w:abstractNumId w:val="17"/>
  </w:num>
  <w:num w:numId="6">
    <w:abstractNumId w:val="12"/>
  </w:num>
  <w:num w:numId="7">
    <w:abstractNumId w:val="9"/>
  </w:num>
  <w:num w:numId="8">
    <w:abstractNumId w:val="0"/>
  </w:num>
  <w:num w:numId="9">
    <w:abstractNumId w:val="7"/>
  </w:num>
  <w:num w:numId="10">
    <w:abstractNumId w:val="8"/>
  </w:num>
  <w:num w:numId="11">
    <w:abstractNumId w:val="3"/>
  </w:num>
  <w:num w:numId="12">
    <w:abstractNumId w:val="1"/>
  </w:num>
  <w:num w:numId="13">
    <w:abstractNumId w:val="4"/>
  </w:num>
  <w:num w:numId="14">
    <w:abstractNumId w:val="14"/>
  </w:num>
  <w:num w:numId="15">
    <w:abstractNumId w:val="16"/>
  </w:num>
  <w:num w:numId="16">
    <w:abstractNumId w:val="19"/>
  </w:num>
  <w:num w:numId="17">
    <w:abstractNumId w:val="5"/>
  </w:num>
  <w:num w:numId="18">
    <w:abstractNumId w:val="6"/>
  </w:num>
  <w:num w:numId="19">
    <w:abstractNumId w:val="15"/>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0F4A28"/>
    <w:rsid w:val="3FF52EB1"/>
    <w:rsid w:val="48CF7058"/>
    <w:rsid w:val="6A9D683E"/>
    <w:rsid w:val="7CF20E70"/>
    <w:rsid w:val="7F6E24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1">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iPriority w:val="0"/>
  </w:style>
  <w:style w:type="paragraph" w:styleId="8">
    <w:name w:val="toc 2"/>
    <w:basedOn w:val="1"/>
    <w:next w:val="1"/>
    <w:uiPriority w:val="0"/>
    <w:pPr>
      <w:ind w:left="420" w:leftChars="200"/>
    </w:pPr>
  </w:style>
  <w:style w:type="table" w:styleId="10">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paragraph" w:customStyle="1" w:styleId="13">
    <w:name w:val="WPSOffice手动目录 1"/>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2026-05-19T07:06:00Z</dcterms:created>
  <dc:creator>9986</dc:creator>
  <cp:lastModifiedBy>9986</cp:lastModifiedBy>
  <dcterms:modified xsi:type="dcterms:W3CDTF">2026-05-22T08:33:09Z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